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w:t>
      </w:r>
      <w:r>
        <w:rPr>
          <w:rFonts w:hint="eastAsia" w:ascii="仿宋" w:hAnsi="仿宋" w:eastAsia="仿宋" w:cs="宋体"/>
          <w:color w:val="000000"/>
          <w:kern w:val="0"/>
          <w:sz w:val="32"/>
          <w:szCs w:val="32"/>
        </w:rPr>
        <w:t>4年部门（单位）预算信息公开模板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共青团西藏自治区委员会（本级）</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2024年度部门（单位）预算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2024年1月22日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共青团西藏自治区委员会概况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共青团西藏自治区委员会（本级）</w:t>
      </w:r>
    </w:p>
    <w:p>
      <w:pPr>
        <w:rPr>
          <w:rFonts w:ascii="方正小标宋简体" w:hAnsi="仿宋" w:eastAsia="方正小标宋简体"/>
          <w:sz w:val="32"/>
          <w:szCs w:val="32"/>
        </w:rPr>
      </w:pPr>
      <w:r>
        <w:rPr>
          <w:rFonts w:hint="eastAsia" w:ascii="方正小标宋简体" w:hAnsi="仿宋" w:eastAsia="方正小标宋简体"/>
          <w:sz w:val="32"/>
          <w:szCs w:val="32"/>
        </w:rPr>
        <w:t>2024年度部门预算明细表</w:t>
      </w:r>
    </w:p>
    <w:p>
      <w:pPr>
        <w:rPr>
          <w:rFonts w:ascii="黑体" w:hAnsi="黑体" w:eastAsia="黑体"/>
          <w:sz w:val="32"/>
          <w:szCs w:val="32"/>
        </w:rPr>
      </w:pPr>
      <w:r>
        <w:rPr>
          <w:rFonts w:hint="eastAsia" w:ascii="黑体" w:hAnsi="黑体" w:eastAsia="黑体"/>
          <w:sz w:val="32"/>
          <w:szCs w:val="32"/>
        </w:rPr>
        <w:t>一、部门收支预算总表</w:t>
      </w:r>
    </w:p>
    <w:p>
      <w:pPr>
        <w:rPr>
          <w:rFonts w:ascii="黑体" w:hAnsi="黑体" w:eastAsia="黑体"/>
          <w:sz w:val="32"/>
          <w:szCs w:val="32"/>
        </w:rPr>
      </w:pPr>
      <w:r>
        <w:rPr>
          <w:rFonts w:hint="eastAsia" w:ascii="黑体" w:hAnsi="黑体" w:eastAsia="黑体"/>
          <w:sz w:val="32"/>
          <w:szCs w:val="32"/>
        </w:rPr>
        <w:t>二、部门收入总表</w:t>
      </w:r>
    </w:p>
    <w:p>
      <w:pPr>
        <w:rPr>
          <w:rFonts w:ascii="黑体" w:hAnsi="黑体" w:eastAsia="黑体"/>
          <w:sz w:val="32"/>
          <w:szCs w:val="32"/>
        </w:rPr>
      </w:pPr>
      <w:r>
        <w:rPr>
          <w:rFonts w:hint="eastAsia" w:ascii="黑体" w:hAnsi="黑体" w:eastAsia="黑体"/>
          <w:sz w:val="32"/>
          <w:szCs w:val="32"/>
        </w:rPr>
        <w:t>三、部门支出总表</w:t>
      </w:r>
    </w:p>
    <w:p>
      <w:pPr>
        <w:rPr>
          <w:rFonts w:ascii="黑体" w:hAnsi="黑体" w:eastAsia="黑体"/>
          <w:sz w:val="32"/>
          <w:szCs w:val="32"/>
        </w:rPr>
      </w:pPr>
      <w:r>
        <w:rPr>
          <w:rFonts w:hint="eastAsia" w:ascii="黑体" w:hAnsi="黑体" w:eastAsia="黑体"/>
          <w:sz w:val="32"/>
          <w:szCs w:val="32"/>
        </w:rPr>
        <w:t>四、财政拨款收支预算总表</w:t>
      </w:r>
    </w:p>
    <w:p>
      <w:pPr>
        <w:rPr>
          <w:rFonts w:ascii="黑体" w:hAnsi="黑体" w:eastAsia="黑体"/>
          <w:sz w:val="32"/>
          <w:szCs w:val="32"/>
        </w:rPr>
      </w:pPr>
      <w:r>
        <w:rPr>
          <w:rFonts w:hint="eastAsia" w:ascii="黑体" w:hAnsi="黑体" w:eastAsia="黑体"/>
          <w:sz w:val="32"/>
          <w:szCs w:val="32"/>
        </w:rPr>
        <w:t>五、一般公共预算收支出表（按功能分类科目）</w:t>
      </w:r>
    </w:p>
    <w:p>
      <w:pPr>
        <w:rPr>
          <w:rFonts w:ascii="黑体" w:hAnsi="黑体" w:eastAsia="黑体"/>
          <w:sz w:val="32"/>
          <w:szCs w:val="32"/>
        </w:rPr>
      </w:pPr>
      <w:r>
        <w:rPr>
          <w:rFonts w:hint="eastAsia" w:ascii="黑体" w:hAnsi="黑体" w:eastAsia="黑体"/>
          <w:sz w:val="32"/>
          <w:szCs w:val="32"/>
        </w:rPr>
        <w:t>六、一般公共预算支出表（按功能分类科目）</w:t>
      </w:r>
    </w:p>
    <w:p>
      <w:pPr>
        <w:rPr>
          <w:rFonts w:ascii="黑体" w:hAnsi="黑体" w:eastAsia="黑体"/>
          <w:sz w:val="32"/>
          <w:szCs w:val="32"/>
        </w:rPr>
      </w:pPr>
      <w:r>
        <w:rPr>
          <w:rFonts w:hint="eastAsia" w:ascii="黑体" w:hAnsi="黑体" w:eastAsia="黑体"/>
          <w:sz w:val="32"/>
          <w:szCs w:val="32"/>
        </w:rPr>
        <w:t>七、一般公共预算基本支出表（按经济分类款级科目）</w:t>
      </w:r>
    </w:p>
    <w:p>
      <w:pPr>
        <w:rPr>
          <w:rFonts w:ascii="黑体" w:hAnsi="黑体" w:eastAsia="黑体"/>
          <w:sz w:val="32"/>
          <w:szCs w:val="32"/>
        </w:rPr>
      </w:pPr>
      <w:r>
        <w:rPr>
          <w:rFonts w:hint="eastAsia" w:ascii="黑体" w:hAnsi="黑体" w:eastAsia="黑体"/>
          <w:sz w:val="32"/>
          <w:szCs w:val="32"/>
        </w:rPr>
        <w:t>八、一般公共预算“三公”经费支出预算表</w:t>
      </w:r>
    </w:p>
    <w:p>
      <w:pPr>
        <w:rPr>
          <w:rFonts w:ascii="黑体" w:hAnsi="黑体" w:eastAsia="黑体"/>
          <w:sz w:val="32"/>
          <w:szCs w:val="32"/>
        </w:rPr>
      </w:pPr>
      <w:r>
        <w:rPr>
          <w:rFonts w:hint="eastAsia" w:ascii="黑体" w:hAnsi="黑体" w:eastAsia="黑体"/>
          <w:sz w:val="32"/>
          <w:szCs w:val="32"/>
        </w:rPr>
        <w:t>九、项目支出绩效目标表</w:t>
      </w:r>
    </w:p>
    <w:p>
      <w:pPr>
        <w:rPr>
          <w:rFonts w:ascii="黑体" w:hAnsi="黑体" w:eastAsia="黑体"/>
          <w:sz w:val="32"/>
          <w:szCs w:val="32"/>
        </w:rPr>
      </w:pPr>
      <w:r>
        <w:rPr>
          <w:rFonts w:hint="eastAsia" w:ascii="黑体" w:hAnsi="黑体" w:eastAsia="黑体"/>
          <w:sz w:val="32"/>
          <w:szCs w:val="32"/>
        </w:rPr>
        <w:t>十、政府购买服务预算表</w:t>
      </w:r>
    </w:p>
    <w:p>
      <w:pPr>
        <w:rPr>
          <w:rFonts w:ascii="黑体" w:hAnsi="黑体" w:eastAsia="黑体"/>
          <w:sz w:val="32"/>
          <w:szCs w:val="32"/>
        </w:rPr>
      </w:pPr>
      <w:r>
        <w:rPr>
          <w:rFonts w:hint="eastAsia" w:ascii="黑体" w:hAnsi="黑体" w:eastAsia="黑体"/>
          <w:sz w:val="32"/>
          <w:szCs w:val="32"/>
        </w:rPr>
        <w:t>十一、政府采购预算表</w:t>
      </w:r>
    </w:p>
    <w:p>
      <w:pPr>
        <w:rPr>
          <w:rFonts w:ascii="黑体" w:hAnsi="黑体" w:eastAsia="黑体"/>
          <w:sz w:val="32"/>
          <w:szCs w:val="32"/>
        </w:rPr>
      </w:pPr>
      <w:r>
        <w:rPr>
          <w:rFonts w:hint="eastAsia" w:ascii="黑体" w:hAnsi="黑体" w:eastAsia="黑体"/>
          <w:sz w:val="32"/>
          <w:szCs w:val="32"/>
        </w:rPr>
        <w:t>十二、政府性基金收支总表</w:t>
      </w:r>
    </w:p>
    <w:p>
      <w:pPr>
        <w:rPr>
          <w:rFonts w:ascii="黑体" w:hAnsi="黑体" w:eastAsia="黑体"/>
          <w:sz w:val="32"/>
          <w:szCs w:val="32"/>
        </w:rPr>
      </w:pPr>
      <w:r>
        <w:rPr>
          <w:rFonts w:hint="eastAsia" w:ascii="黑体" w:hAnsi="黑体" w:eastAsia="黑体"/>
          <w:sz w:val="32"/>
          <w:szCs w:val="32"/>
        </w:rPr>
        <w:t>十三、政府性基金预算支出表</w:t>
      </w:r>
    </w:p>
    <w:p>
      <w:pPr>
        <w:rPr>
          <w:rFonts w:ascii="黑体" w:hAnsi="黑体" w:eastAsia="黑体"/>
          <w:sz w:val="32"/>
          <w:szCs w:val="32"/>
        </w:rPr>
      </w:pPr>
      <w:r>
        <w:rPr>
          <w:rFonts w:hint="eastAsia" w:ascii="黑体" w:hAnsi="黑体" w:eastAsia="黑体"/>
          <w:sz w:val="32"/>
          <w:szCs w:val="32"/>
        </w:rPr>
        <w:t>十四、政府性基金基本支出表</w:t>
      </w:r>
    </w:p>
    <w:p>
      <w:pPr>
        <w:rPr>
          <w:rFonts w:ascii="黑体" w:hAnsi="黑体" w:eastAsia="黑体"/>
          <w:sz w:val="32"/>
          <w:szCs w:val="32"/>
        </w:rPr>
      </w:pPr>
      <w:r>
        <w:rPr>
          <w:rFonts w:hint="eastAsia" w:ascii="黑体" w:hAnsi="黑体" w:eastAsia="黑体"/>
          <w:sz w:val="32"/>
          <w:szCs w:val="32"/>
        </w:rPr>
        <w:t>十五、政府性基金“三公”经费支出预算表</w:t>
      </w:r>
    </w:p>
    <w:p>
      <w:pPr>
        <w:rPr>
          <w:rFonts w:ascii="黑体" w:hAnsi="黑体" w:eastAsia="黑体"/>
          <w:sz w:val="32"/>
          <w:szCs w:val="32"/>
        </w:rPr>
      </w:pPr>
      <w:r>
        <w:rPr>
          <w:rFonts w:hint="eastAsia" w:ascii="黑体" w:hAnsi="黑体" w:eastAsia="黑体"/>
          <w:sz w:val="32"/>
          <w:szCs w:val="32"/>
        </w:rPr>
        <w:t>十六、项目支出表</w:t>
      </w:r>
    </w:p>
    <w:p>
      <w:pPr>
        <w:rPr>
          <w:rFonts w:ascii="黑体" w:hAnsi="黑体" w:eastAsia="黑体"/>
          <w:sz w:val="32"/>
          <w:szCs w:val="32"/>
        </w:rPr>
      </w:pPr>
      <w:r>
        <w:rPr>
          <w:rFonts w:hint="eastAsia" w:ascii="黑体" w:hAnsi="黑体" w:eastAsia="黑体"/>
          <w:sz w:val="32"/>
          <w:szCs w:val="32"/>
        </w:rPr>
        <w:t>十七、</w:t>
      </w:r>
      <w:r>
        <w:rPr>
          <w:rFonts w:hint="eastAsia" w:ascii="黑体" w:hAnsi="黑体" w:eastAsia="黑体"/>
          <w:sz w:val="32"/>
          <w:szCs w:val="32"/>
          <w:lang w:val="en-US" w:eastAsia="zh-CN"/>
        </w:rPr>
        <w:t>项目整体</w:t>
      </w:r>
      <w:r>
        <w:rPr>
          <w:rFonts w:hint="eastAsia" w:ascii="黑体" w:hAnsi="黑体" w:eastAsia="黑体"/>
          <w:sz w:val="32"/>
          <w:szCs w:val="32"/>
        </w:rPr>
        <w:t>绩效目标表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共青团西藏自治区委员会（本级）</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2024年度预算数据分析</w:t>
      </w:r>
    </w:p>
    <w:p>
      <w:pPr>
        <w:numPr>
          <w:ilvl w:val="0"/>
          <w:numId w:val="1"/>
        </w:numPr>
        <w:rPr>
          <w:rFonts w:ascii="黑体" w:hAnsi="黑体" w:eastAsia="黑体"/>
          <w:sz w:val="32"/>
          <w:szCs w:val="32"/>
        </w:rPr>
      </w:pPr>
      <w:r>
        <w:rPr>
          <w:rFonts w:hint="eastAsia" w:ascii="黑体" w:hAnsi="黑体" w:eastAsia="黑体"/>
          <w:sz w:val="32"/>
          <w:szCs w:val="32"/>
        </w:rPr>
        <w:t>收支总体情况</w:t>
      </w:r>
    </w:p>
    <w:p>
      <w:pPr>
        <w:numPr>
          <w:ilvl w:val="0"/>
          <w:numId w:val="1"/>
        </w:numPr>
        <w:rPr>
          <w:rFonts w:ascii="黑体" w:hAnsi="黑体" w:eastAsia="黑体"/>
          <w:sz w:val="32"/>
          <w:szCs w:val="32"/>
        </w:rPr>
      </w:pPr>
      <w:r>
        <w:rPr>
          <w:rFonts w:hint="eastAsia" w:ascii="黑体" w:hAnsi="黑体" w:eastAsia="黑体"/>
          <w:sz w:val="32"/>
          <w:szCs w:val="32"/>
        </w:rPr>
        <w:t>收入总体情况</w:t>
      </w:r>
    </w:p>
    <w:p>
      <w:pPr>
        <w:numPr>
          <w:ilvl w:val="0"/>
          <w:numId w:val="1"/>
        </w:numPr>
        <w:rPr>
          <w:rFonts w:ascii="黑体" w:hAnsi="黑体" w:eastAsia="黑体"/>
          <w:sz w:val="32"/>
          <w:szCs w:val="32"/>
        </w:rPr>
      </w:pPr>
      <w:r>
        <w:rPr>
          <w:rFonts w:hint="eastAsia" w:ascii="黑体" w:hAnsi="黑体" w:eastAsia="黑体"/>
          <w:sz w:val="32"/>
          <w:szCs w:val="32"/>
        </w:rPr>
        <w:t>支出总体情况</w:t>
      </w:r>
    </w:p>
    <w:p>
      <w:pPr>
        <w:rPr>
          <w:rFonts w:ascii="黑体" w:hAnsi="黑体" w:eastAsia="黑体"/>
          <w:sz w:val="32"/>
          <w:szCs w:val="32"/>
        </w:rPr>
      </w:pPr>
      <w:r>
        <w:rPr>
          <w:rFonts w:hint="eastAsia" w:ascii="黑体" w:hAnsi="黑体" w:eastAsia="黑体"/>
          <w:sz w:val="32"/>
          <w:szCs w:val="32"/>
        </w:rPr>
        <w:t>四、一般公共预算收支总体情况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p>
    <w:p>
      <w:pPr>
        <w:rPr>
          <w:rFonts w:ascii="方正小标宋简体" w:hAnsi="仿宋" w:eastAsia="方正小标宋简体"/>
          <w:sz w:val="32"/>
          <w:szCs w:val="32"/>
        </w:rPr>
      </w:pPr>
    </w:p>
    <w:p>
      <w:pPr>
        <w:jc w:val="center"/>
        <w:rPr>
          <w:rFonts w:ascii="方正小标宋简体" w:hAnsi="仿宋" w:eastAsia="方正小标宋简体"/>
          <w:sz w:val="32"/>
          <w:szCs w:val="32"/>
        </w:rPr>
      </w:pPr>
    </w:p>
    <w:p>
      <w:pP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共青团西藏自治区委员会（本级）概况</w:t>
      </w:r>
    </w:p>
    <w:p>
      <w:pPr>
        <w:rPr>
          <w:rFonts w:ascii="仿宋" w:hAnsi="仿宋" w:eastAsia="仿宋"/>
          <w:sz w:val="32"/>
          <w:szCs w:val="32"/>
        </w:rPr>
      </w:pPr>
    </w:p>
    <w:p>
      <w:pPr>
        <w:ind w:firstLine="960" w:firstLineChars="300"/>
        <w:rPr>
          <w:rFonts w:ascii="黑体" w:hAnsi="黑体" w:eastAsia="黑体"/>
          <w:sz w:val="32"/>
          <w:szCs w:val="32"/>
        </w:rPr>
      </w:pPr>
    </w:p>
    <w:p>
      <w:pPr>
        <w:ind w:firstLine="960" w:firstLineChars="300"/>
        <w:rPr>
          <w:rFonts w:ascii="黑体" w:hAnsi="黑体" w:eastAsia="黑体"/>
          <w:sz w:val="32"/>
          <w:szCs w:val="32"/>
        </w:rPr>
      </w:pPr>
    </w:p>
    <w:p>
      <w:pPr>
        <w:ind w:firstLine="960" w:firstLineChars="300"/>
        <w:rPr>
          <w:rFonts w:ascii="黑体" w:hAnsi="黑体" w:eastAsia="黑体"/>
          <w:sz w:val="32"/>
          <w:szCs w:val="32"/>
        </w:rPr>
      </w:pPr>
    </w:p>
    <w:p>
      <w:pPr>
        <w:ind w:firstLine="960" w:firstLineChars="300"/>
        <w:rPr>
          <w:rFonts w:ascii="黑体" w:hAnsi="黑体" w:eastAsia="黑体"/>
          <w:sz w:val="32"/>
          <w:szCs w:val="32"/>
        </w:rPr>
      </w:pPr>
    </w:p>
    <w:p>
      <w:pPr>
        <w:ind w:firstLine="960" w:firstLineChars="300"/>
        <w:rPr>
          <w:rFonts w:ascii="黑体" w:hAnsi="黑体" w:eastAsia="黑体"/>
          <w:sz w:val="32"/>
          <w:szCs w:val="32"/>
        </w:rPr>
      </w:pPr>
    </w:p>
    <w:p>
      <w:pPr>
        <w:ind w:firstLine="960" w:firstLineChars="300"/>
        <w:rPr>
          <w:rFonts w:ascii="黑体" w:hAnsi="黑体" w:eastAsia="黑体"/>
          <w:sz w:val="32"/>
          <w:szCs w:val="32"/>
        </w:rPr>
      </w:pPr>
    </w:p>
    <w:p>
      <w:pPr>
        <w:ind w:firstLine="960" w:firstLineChars="300"/>
        <w:rPr>
          <w:rFonts w:ascii="黑体" w:hAnsi="黑体" w:eastAsia="黑体"/>
          <w:sz w:val="32"/>
          <w:szCs w:val="32"/>
        </w:rPr>
      </w:pPr>
    </w:p>
    <w:p>
      <w:pPr>
        <w:ind w:firstLine="960" w:firstLineChars="300"/>
        <w:rPr>
          <w:rFonts w:ascii="黑体" w:hAnsi="黑体" w:eastAsia="黑体"/>
          <w:sz w:val="32"/>
          <w:szCs w:val="32"/>
        </w:rPr>
      </w:pPr>
    </w:p>
    <w:p>
      <w:pPr>
        <w:ind w:firstLine="960" w:firstLineChars="300"/>
        <w:rPr>
          <w:rFonts w:ascii="黑体" w:hAnsi="黑体" w:eastAsia="黑体"/>
          <w:sz w:val="32"/>
          <w:szCs w:val="32"/>
        </w:rPr>
      </w:pPr>
    </w:p>
    <w:p>
      <w:pPr>
        <w:ind w:firstLine="960" w:firstLineChars="300"/>
        <w:rPr>
          <w:rFonts w:ascii="黑体" w:hAnsi="黑体" w:eastAsia="黑体"/>
          <w:sz w:val="32"/>
          <w:szCs w:val="32"/>
        </w:rPr>
      </w:pPr>
    </w:p>
    <w:p>
      <w:pPr>
        <w:ind w:firstLine="960" w:firstLineChars="300"/>
        <w:rPr>
          <w:rFonts w:ascii="黑体" w:hAnsi="黑体" w:eastAsia="黑体"/>
          <w:sz w:val="32"/>
          <w:szCs w:val="32"/>
        </w:rPr>
      </w:pPr>
    </w:p>
    <w:p>
      <w:pPr>
        <w:ind w:firstLine="960" w:firstLineChars="300"/>
        <w:rPr>
          <w:rFonts w:ascii="黑体" w:hAnsi="黑体" w:eastAsia="黑体"/>
          <w:sz w:val="32"/>
          <w:szCs w:val="32"/>
        </w:rPr>
      </w:pPr>
    </w:p>
    <w:p>
      <w:pPr>
        <w:ind w:firstLine="960" w:firstLineChars="300"/>
        <w:rPr>
          <w:rFonts w:ascii="黑体" w:hAnsi="黑体" w:eastAsia="黑体"/>
          <w:sz w:val="32"/>
          <w:szCs w:val="32"/>
        </w:rPr>
      </w:pPr>
    </w:p>
    <w:p>
      <w:pPr>
        <w:ind w:firstLine="960" w:firstLineChars="300"/>
        <w:rPr>
          <w:rFonts w:ascii="黑体" w:hAnsi="黑体" w:eastAsia="黑体"/>
          <w:sz w:val="32"/>
          <w:szCs w:val="32"/>
        </w:rPr>
      </w:pPr>
    </w:p>
    <w:p>
      <w:pPr>
        <w:ind w:firstLine="960" w:firstLineChars="300"/>
        <w:rPr>
          <w:rFonts w:ascii="黑体" w:hAnsi="黑体" w:eastAsia="黑体"/>
          <w:sz w:val="32"/>
          <w:szCs w:val="32"/>
        </w:rPr>
      </w:pPr>
    </w:p>
    <w:p>
      <w:pPr>
        <w:ind w:firstLine="960" w:firstLineChars="300"/>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_GB2312" w:eastAsia="仿宋_GB2312"/>
          <w:sz w:val="32"/>
          <w:szCs w:val="32"/>
        </w:rPr>
      </w:pPr>
      <w:r>
        <w:rPr>
          <w:rFonts w:hint="eastAsia" w:ascii="仿宋_GB2312" w:eastAsia="仿宋_GB2312"/>
          <w:sz w:val="32"/>
          <w:szCs w:val="32"/>
        </w:rPr>
        <w:t>（一）部门职责。</w:t>
      </w:r>
    </w:p>
    <w:p>
      <w:pPr>
        <w:ind w:firstLine="640" w:firstLineChars="200"/>
        <w:rPr>
          <w:rFonts w:ascii="仿宋" w:hAnsi="仿宋" w:eastAsia="仿宋" w:cs="宋体"/>
          <w:sz w:val="32"/>
          <w:szCs w:val="32"/>
        </w:rPr>
      </w:pPr>
      <w:r>
        <w:rPr>
          <w:rFonts w:hint="eastAsia" w:ascii="仿宋" w:hAnsi="仿宋" w:eastAsia="仿宋" w:cs="宋体"/>
          <w:sz w:val="32"/>
          <w:szCs w:val="32"/>
        </w:rPr>
        <w:t>中国共产主义青年团是中国共产党领导的先进青年的群众组织，是广大青年在实践中学习中国特色社会主义和共产主义的学校，是党的助手和后备军，是党联系青年的桥梁和纽带，是国家政权的重要社会支柱之一。</w:t>
      </w:r>
    </w:p>
    <w:p>
      <w:pPr>
        <w:ind w:firstLine="640"/>
        <w:rPr>
          <w:rFonts w:ascii="仿宋" w:hAnsi="仿宋" w:eastAsia="仿宋" w:cs="宋体"/>
          <w:sz w:val="32"/>
          <w:szCs w:val="32"/>
        </w:rPr>
      </w:pPr>
      <w:r>
        <w:rPr>
          <w:rFonts w:hint="eastAsia" w:ascii="仿宋" w:hAnsi="仿宋" w:eastAsia="仿宋" w:cs="宋体"/>
          <w:sz w:val="32"/>
          <w:szCs w:val="32"/>
        </w:rPr>
        <w:t>（1）贯彻执行自治区党委和团中央的决议、指示，协助政府管理青少年事务，领导全区共青团工作，领导和指导全区青联、学联和少先队工作，承担组织青年、引导青年、服务青年和维护青少年合法权益的职能。</w:t>
      </w:r>
    </w:p>
    <w:p>
      <w:pPr>
        <w:ind w:firstLine="640"/>
        <w:rPr>
          <w:rFonts w:ascii="仿宋" w:hAnsi="仿宋" w:eastAsia="仿宋" w:cs="宋体"/>
          <w:sz w:val="32"/>
          <w:szCs w:val="32"/>
        </w:rPr>
      </w:pPr>
      <w:r>
        <w:rPr>
          <w:rFonts w:hint="eastAsia" w:ascii="仿宋" w:hAnsi="仿宋" w:eastAsia="仿宋" w:cs="宋体"/>
          <w:sz w:val="32"/>
          <w:szCs w:val="32"/>
        </w:rPr>
        <w:t>（2）负责拟订全区青少年事业发展规划和青少年工作方针、政策；对全区青少年培训工作、青少年活动阵地、西藏青年报社、青少年服务机构的建设和青少年读物出版等事物进行指导。</w:t>
      </w:r>
    </w:p>
    <w:p>
      <w:pPr>
        <w:ind w:firstLine="640"/>
        <w:rPr>
          <w:rFonts w:ascii="仿宋" w:hAnsi="仿宋" w:eastAsia="仿宋" w:cs="宋体"/>
          <w:sz w:val="32"/>
          <w:szCs w:val="32"/>
        </w:rPr>
      </w:pPr>
      <w:r>
        <w:rPr>
          <w:rFonts w:hint="eastAsia" w:ascii="仿宋" w:hAnsi="仿宋" w:eastAsia="仿宋" w:cs="宋体"/>
          <w:sz w:val="32"/>
          <w:szCs w:val="32"/>
        </w:rPr>
        <w:t>（3）参与有关青少年事务的法律、法规、规章、办法的制定和实施，处理协调与青少年利益相关的事务，向党和政府反映青年的意见和要求。</w:t>
      </w:r>
    </w:p>
    <w:p>
      <w:pPr>
        <w:ind w:firstLine="640"/>
        <w:rPr>
          <w:rFonts w:ascii="仿宋" w:hAnsi="仿宋" w:eastAsia="仿宋" w:cs="宋体"/>
          <w:sz w:val="32"/>
          <w:szCs w:val="32"/>
        </w:rPr>
      </w:pPr>
      <w:r>
        <w:rPr>
          <w:rFonts w:hint="eastAsia" w:ascii="仿宋" w:hAnsi="仿宋" w:eastAsia="仿宋" w:cs="宋体"/>
          <w:sz w:val="32"/>
          <w:szCs w:val="32"/>
        </w:rPr>
        <w:t>（4）调查全区青年思想动态和青年工作状况，研究青少年运动、青少年工作理论等问题，为自治区党委政府制定相关政策提供决策依据。</w:t>
      </w:r>
    </w:p>
    <w:p>
      <w:pPr>
        <w:ind w:firstLine="640"/>
        <w:rPr>
          <w:rFonts w:ascii="仿宋" w:hAnsi="仿宋" w:eastAsia="仿宋" w:cs="宋体"/>
          <w:sz w:val="32"/>
          <w:szCs w:val="32"/>
        </w:rPr>
      </w:pPr>
      <w:r>
        <w:rPr>
          <w:rFonts w:hint="eastAsia" w:ascii="仿宋" w:hAnsi="仿宋" w:eastAsia="仿宋" w:cs="宋体"/>
          <w:sz w:val="32"/>
          <w:szCs w:val="32"/>
        </w:rPr>
        <w:t>（5）指导全区青少年思想教育和宣传文化活动，组织全区青少年开展以维护祖国统一、加强民族团结、反对分裂为主题的爱国主义教育，开展马克思主义“四观”“两论”教育，促进全区社会局势和谐稳定和长治久安。</w:t>
      </w:r>
    </w:p>
    <w:p>
      <w:pPr>
        <w:ind w:firstLine="640"/>
        <w:rPr>
          <w:rFonts w:ascii="仿宋" w:hAnsi="仿宋" w:eastAsia="仿宋" w:cs="宋体"/>
          <w:sz w:val="32"/>
          <w:szCs w:val="32"/>
        </w:rPr>
      </w:pPr>
      <w:r>
        <w:rPr>
          <w:rFonts w:hint="eastAsia" w:ascii="仿宋" w:hAnsi="仿宋" w:eastAsia="仿宋" w:cs="宋体"/>
          <w:sz w:val="32"/>
          <w:szCs w:val="32"/>
        </w:rPr>
        <w:t>（6）围绕自治区党委政府中心工作，组织团员青年在推进经济社会长足发展中发挥生力军和突击队作用。</w:t>
      </w:r>
    </w:p>
    <w:p>
      <w:pPr>
        <w:ind w:firstLine="640"/>
        <w:rPr>
          <w:rFonts w:ascii="仿宋" w:hAnsi="仿宋" w:eastAsia="仿宋" w:cs="宋体"/>
          <w:sz w:val="32"/>
          <w:szCs w:val="32"/>
        </w:rPr>
      </w:pPr>
      <w:r>
        <w:rPr>
          <w:rFonts w:hint="eastAsia" w:ascii="仿宋" w:hAnsi="仿宋" w:eastAsia="仿宋" w:cs="宋体"/>
          <w:sz w:val="32"/>
          <w:szCs w:val="32"/>
        </w:rPr>
        <w:t>（7）代表和维护青少年利益，建立和完善青少年维权体系，会同有关部门做好未成年人保护工作；指导全区青少年社会事务工作。</w:t>
      </w:r>
    </w:p>
    <w:p>
      <w:pPr>
        <w:ind w:firstLine="640"/>
        <w:rPr>
          <w:rFonts w:ascii="仿宋" w:hAnsi="仿宋" w:eastAsia="仿宋" w:cs="宋体"/>
          <w:sz w:val="32"/>
          <w:szCs w:val="32"/>
        </w:rPr>
      </w:pPr>
      <w:r>
        <w:rPr>
          <w:rFonts w:hint="eastAsia" w:ascii="仿宋" w:hAnsi="仿宋" w:eastAsia="仿宋" w:cs="宋体"/>
          <w:sz w:val="32"/>
          <w:szCs w:val="32"/>
        </w:rPr>
        <w:t>（8）负责招募青年志愿者，组织指导青年志愿者开展各项志愿者服务活动。</w:t>
      </w:r>
    </w:p>
    <w:p>
      <w:pPr>
        <w:ind w:firstLine="640"/>
        <w:rPr>
          <w:rFonts w:ascii="仿宋" w:hAnsi="仿宋" w:eastAsia="仿宋" w:cs="宋体"/>
          <w:sz w:val="32"/>
          <w:szCs w:val="32"/>
        </w:rPr>
      </w:pPr>
      <w:r>
        <w:rPr>
          <w:rFonts w:hint="eastAsia" w:ascii="仿宋" w:hAnsi="仿宋" w:eastAsia="仿宋" w:cs="宋体"/>
          <w:sz w:val="32"/>
          <w:szCs w:val="32"/>
        </w:rPr>
        <w:t>（9）募集青少年事业发展资金，组织实施“希望工程”和“保护母亲河行动-高原绿色希望工程”。</w:t>
      </w:r>
    </w:p>
    <w:p>
      <w:pPr>
        <w:ind w:firstLine="640"/>
        <w:rPr>
          <w:rFonts w:ascii="仿宋" w:hAnsi="仿宋" w:eastAsia="仿宋" w:cs="宋体"/>
          <w:sz w:val="32"/>
          <w:szCs w:val="32"/>
        </w:rPr>
      </w:pPr>
      <w:r>
        <w:rPr>
          <w:rFonts w:hint="eastAsia" w:ascii="仿宋" w:hAnsi="仿宋" w:eastAsia="仿宋" w:cs="宋体"/>
          <w:sz w:val="32"/>
          <w:szCs w:val="32"/>
        </w:rPr>
        <w:t>（10）负责自治区青年联合会和青年统战工作，组织指导全区青少年对内、对外友好交流。</w:t>
      </w:r>
    </w:p>
    <w:p>
      <w:pPr>
        <w:ind w:firstLine="640"/>
        <w:rPr>
          <w:rFonts w:ascii="仿宋" w:hAnsi="仿宋" w:eastAsia="仿宋" w:cs="宋体"/>
          <w:sz w:val="32"/>
          <w:szCs w:val="32"/>
        </w:rPr>
      </w:pPr>
      <w:r>
        <w:rPr>
          <w:rFonts w:hint="eastAsia" w:ascii="仿宋" w:hAnsi="仿宋" w:eastAsia="仿宋" w:cs="宋体"/>
          <w:sz w:val="32"/>
          <w:szCs w:val="32"/>
        </w:rPr>
        <w:t>（11）负责拟订全区团组织和团干部队伍建设的政策措施；指导全区共青团组织、团干部队伍建设。</w:t>
      </w:r>
    </w:p>
    <w:p>
      <w:pPr>
        <w:ind w:firstLine="640"/>
        <w:rPr>
          <w:rFonts w:ascii="仿宋" w:hAnsi="仿宋" w:eastAsia="仿宋"/>
          <w:sz w:val="32"/>
          <w:szCs w:val="32"/>
        </w:rPr>
      </w:pPr>
      <w:r>
        <w:rPr>
          <w:rFonts w:hint="eastAsia" w:ascii="仿宋" w:hAnsi="仿宋" w:eastAsia="仿宋" w:cs="宋体"/>
          <w:sz w:val="32"/>
          <w:szCs w:val="32"/>
        </w:rPr>
        <w:t>（12）承办自治区党委政府交办的其他事项。</w:t>
      </w:r>
    </w:p>
    <w:p>
      <w:pPr>
        <w:ind w:firstLine="640" w:firstLineChars="200"/>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_GB2312" w:eastAsia="仿宋_GB2312"/>
          <w:sz w:val="32"/>
          <w:szCs w:val="32"/>
        </w:rPr>
      </w:pPr>
      <w:r>
        <w:rPr>
          <w:rFonts w:hint="eastAsia" w:ascii="仿宋" w:hAnsi="仿宋" w:eastAsia="仿宋"/>
          <w:sz w:val="32"/>
          <w:szCs w:val="32"/>
        </w:rPr>
        <w:t>本次公开范围团区委本级2024年部门预算（下属预算单位单独公开）。</w:t>
      </w:r>
    </w:p>
    <w:p>
      <w:pPr>
        <w:ind w:firstLine="640" w:firstLineChars="200"/>
        <w:rPr>
          <w:rFonts w:ascii="仿宋" w:hAnsi="仿宋" w:eastAsia="仿宋" w:cs="宋体"/>
          <w:sz w:val="32"/>
          <w:szCs w:val="32"/>
        </w:rPr>
      </w:pPr>
      <w:r>
        <w:rPr>
          <w:rFonts w:hint="eastAsia" w:ascii="仿宋" w:hAnsi="仿宋" w:eastAsia="仿宋" w:cs="宋体"/>
          <w:sz w:val="32"/>
          <w:szCs w:val="32"/>
        </w:rPr>
        <w:t>团区委机关</w:t>
      </w:r>
      <w:r>
        <w:rPr>
          <w:rFonts w:hint="eastAsia" w:ascii="仿宋" w:hAnsi="仿宋" w:eastAsia="仿宋"/>
          <w:sz w:val="32"/>
          <w:szCs w:val="32"/>
        </w:rPr>
        <w:t>内设机构8个，</w:t>
      </w:r>
      <w:r>
        <w:rPr>
          <w:rFonts w:hint="eastAsia" w:ascii="仿宋" w:hAnsi="仿宋" w:eastAsia="仿宋" w:cs="宋体"/>
          <w:sz w:val="32"/>
          <w:szCs w:val="32"/>
        </w:rPr>
        <w:t>均为正处级。所属事业单位机构2个，1个正县级，1个副县级。</w:t>
      </w:r>
    </w:p>
    <w:p>
      <w:pPr>
        <w:ind w:firstLine="803"/>
        <w:rPr>
          <w:rFonts w:ascii="仿宋" w:hAnsi="仿宋" w:eastAsia="仿宋" w:cs="宋体"/>
          <w:sz w:val="32"/>
          <w:szCs w:val="32"/>
        </w:rPr>
      </w:pPr>
      <w:r>
        <w:rPr>
          <w:rFonts w:hint="eastAsia" w:ascii="仿宋" w:hAnsi="仿宋" w:eastAsia="仿宋" w:cs="宋体"/>
          <w:sz w:val="32"/>
          <w:szCs w:val="32"/>
        </w:rPr>
        <w:t>（1）办公室。负责团区委党组会议、书记办公室会议和团区委大型会议、秘书工作；起草团区委有关重要文稿、审核印发团区委文件；负责文电处理、档案管理；负责机关财务、资产管理、保密、信访等工作；协调联系自治区和团中央各部门关系，协调机关各部门和直属单位的工作；负责管理机关后勤服务中心。</w:t>
      </w:r>
    </w:p>
    <w:p>
      <w:pPr>
        <w:ind w:firstLine="803"/>
        <w:rPr>
          <w:rFonts w:ascii="仿宋" w:hAnsi="仿宋" w:eastAsia="仿宋" w:cs="宋体"/>
          <w:sz w:val="32"/>
          <w:szCs w:val="32"/>
        </w:rPr>
      </w:pPr>
      <w:r>
        <w:rPr>
          <w:rFonts w:hint="eastAsia" w:ascii="仿宋" w:hAnsi="仿宋" w:eastAsia="仿宋" w:cs="宋体"/>
          <w:sz w:val="32"/>
          <w:szCs w:val="32"/>
        </w:rPr>
        <w:t>（2）组织部（机关党委、基层组织建设部）。负责拟订全区团组织、团员和团干部队伍建设的总体规划、制度措施承担团区委协助地市委管理地市级团委领导班子有关工作；负责团区委机关和直属单位机构编制、干部人事、人才、离退休等工作；负责团区委机关党建、党风廉政建设工作；协助自治区纪检组、上级纪委开展工作；负责团费收缴、管理和团的基层统计工作，优秀团组织、团员评选表彰工作。</w:t>
      </w:r>
    </w:p>
    <w:p>
      <w:pPr>
        <w:ind w:firstLine="803"/>
        <w:rPr>
          <w:rFonts w:ascii="仿宋" w:hAnsi="仿宋" w:eastAsia="仿宋" w:cs="宋体"/>
          <w:sz w:val="32"/>
          <w:szCs w:val="32"/>
        </w:rPr>
      </w:pPr>
      <w:r>
        <w:rPr>
          <w:rFonts w:hint="eastAsia" w:ascii="仿宋" w:hAnsi="仿宋" w:eastAsia="仿宋" w:cs="宋体"/>
          <w:sz w:val="32"/>
          <w:szCs w:val="32"/>
        </w:rPr>
        <w:t>（3）青年发展部。负责拟订促进青年发展的规划和政策措施，建立完善青年服务体系；开展促进青年就业创业和青年这也技能培训提升等工作；负责建设农村青年致富带头人、哟优秀进城务工农牧民青年、青年创业人才和青年企业家队伍5之青年人才大军;负责组织实施团区委定点扶贫帮扶工作。</w:t>
      </w:r>
    </w:p>
    <w:p>
      <w:pPr>
        <w:ind w:firstLine="803"/>
        <w:rPr>
          <w:rFonts w:ascii="仿宋" w:hAnsi="仿宋" w:eastAsia="仿宋" w:cs="宋体"/>
          <w:sz w:val="32"/>
          <w:szCs w:val="32"/>
        </w:rPr>
      </w:pPr>
      <w:r>
        <w:rPr>
          <w:rFonts w:hint="eastAsia" w:ascii="仿宋" w:hAnsi="仿宋" w:eastAsia="仿宋" w:cs="宋体"/>
          <w:sz w:val="32"/>
          <w:szCs w:val="32"/>
        </w:rPr>
        <w:t>(4)宣传与新媒体工作部。负责团区委的新闻宣传工作，抓好团的宣传队伍建设；指导团员青年理论学习，推广和编写青年教育读物；指导团的新媒体阵地建设和网络舆论引导工作。</w:t>
      </w:r>
    </w:p>
    <w:p>
      <w:pPr>
        <w:ind w:firstLine="803"/>
        <w:rPr>
          <w:rFonts w:ascii="仿宋" w:hAnsi="仿宋" w:eastAsia="仿宋" w:cs="宋体"/>
          <w:sz w:val="32"/>
          <w:szCs w:val="32"/>
        </w:rPr>
      </w:pPr>
      <w:r>
        <w:rPr>
          <w:rFonts w:hint="eastAsia" w:ascii="仿宋" w:hAnsi="仿宋" w:eastAsia="仿宋" w:cs="宋体"/>
          <w:sz w:val="32"/>
          <w:szCs w:val="32"/>
        </w:rPr>
        <w:t>（5）维护青少年权益与志愿者工作部（社会联络部）。</w:t>
      </w:r>
    </w:p>
    <w:p>
      <w:pPr>
        <w:rPr>
          <w:rFonts w:ascii="仿宋" w:hAnsi="仿宋" w:eastAsia="仿宋" w:cs="宋体"/>
          <w:sz w:val="32"/>
          <w:szCs w:val="32"/>
        </w:rPr>
      </w:pPr>
      <w:r>
        <w:rPr>
          <w:rFonts w:hint="eastAsia" w:ascii="仿宋" w:hAnsi="仿宋" w:eastAsia="仿宋" w:cs="宋体"/>
          <w:sz w:val="32"/>
          <w:szCs w:val="32"/>
        </w:rPr>
        <w:t>研究拟定青少年权益工作的意见、规划，提出解决青少年维权问题的对策；负责自治区综治委预防青少年违法犯罪工作领导小组办公室和未成年人保护委员会相关机构的日常工作；负责拟订青年志愿服务工作规划、意见，指导青年志愿者服务工作；负责大学生志愿服务西部计划西藏转向志愿者的招募、选拔、培训、考核、管理和就业推荐工作。</w:t>
      </w:r>
    </w:p>
    <w:p>
      <w:pPr>
        <w:ind w:firstLine="660"/>
        <w:rPr>
          <w:rFonts w:ascii="仿宋" w:hAnsi="仿宋" w:eastAsia="仿宋" w:cs="宋体"/>
          <w:sz w:val="32"/>
          <w:szCs w:val="32"/>
        </w:rPr>
      </w:pPr>
      <w:r>
        <w:rPr>
          <w:rFonts w:hint="eastAsia" w:ascii="仿宋" w:hAnsi="仿宋" w:eastAsia="仿宋" w:cs="宋体"/>
          <w:sz w:val="32"/>
          <w:szCs w:val="32"/>
        </w:rPr>
        <w:t>（6）学校部。负责研究、指导全区大中专院校和中学团的工作；研究并组织开展全区大中学生思想政治引导和价值引导；指导全区学生团员队伍建设、学校团组织建设、团干部教育培训；指导全区大中专学生开展社会实践、志愿服务、素质拓展、创业、校园文化等工作。</w:t>
      </w:r>
    </w:p>
    <w:p>
      <w:pPr>
        <w:ind w:firstLine="660"/>
        <w:rPr>
          <w:rFonts w:ascii="仿宋" w:hAnsi="仿宋" w:eastAsia="仿宋" w:cs="宋体"/>
          <w:sz w:val="32"/>
          <w:szCs w:val="32"/>
        </w:rPr>
      </w:pPr>
      <w:r>
        <w:rPr>
          <w:rFonts w:hint="eastAsia" w:ascii="仿宋" w:hAnsi="仿宋" w:eastAsia="仿宋" w:cs="宋体"/>
          <w:sz w:val="32"/>
          <w:szCs w:val="32"/>
        </w:rPr>
        <w:t>（7）少年部。负责研究、指导少年儿童思想品德教育、爱国主义教育、民族团结教育；负责少先队的组织统计、基础队伍建设、团队衔接和培训、表彰工作；指导全区少先队辅导员队伍建设；负责少先队西藏工作委员会办公室日常工作。</w:t>
      </w:r>
    </w:p>
    <w:p>
      <w:pPr>
        <w:ind w:firstLine="660"/>
        <w:rPr>
          <w:rFonts w:ascii="仿宋" w:hAnsi="仿宋" w:eastAsia="仿宋" w:cs="宋体"/>
          <w:sz w:val="32"/>
          <w:szCs w:val="32"/>
        </w:rPr>
      </w:pPr>
      <w:r>
        <w:rPr>
          <w:rFonts w:hint="eastAsia" w:ascii="仿宋" w:hAnsi="仿宋" w:eastAsia="仿宋" w:cs="宋体"/>
          <w:sz w:val="32"/>
          <w:szCs w:val="32"/>
        </w:rPr>
        <w:t>（8）统战联络部（青年联合会秘书处）。拟定青年统战计划并组织实施；统筹青少年民族团结教育和服务青少年成长长才工作，在非党青年知识分子、非公经济组织青年、宗教界青年中开展交流和联谊工作；制定自治区青联工作计划，联络委员和会员团体；承担统筹和开展港澳青少年工作。</w:t>
      </w:r>
    </w:p>
    <w:p>
      <w:pPr>
        <w:ind w:firstLine="660"/>
        <w:rPr>
          <w:rFonts w:ascii="仿宋" w:hAnsi="仿宋" w:eastAsia="仿宋" w:cs="宋体"/>
          <w:sz w:val="32"/>
          <w:szCs w:val="32"/>
        </w:rPr>
      </w:pPr>
      <w:r>
        <w:rPr>
          <w:rFonts w:hint="eastAsia" w:ascii="仿宋" w:hAnsi="仿宋" w:eastAsia="仿宋" w:cs="宋体"/>
          <w:sz w:val="32"/>
          <w:szCs w:val="32"/>
        </w:rPr>
        <w:t>（9）西藏青少年发展基金会秘书处（西藏青年创业就业基金会秘书处）（正县级）。负责拟定西藏希望工程、高原绿色希望工程和服务西藏青年创业就业的发张规划、实施计划、组织实施及落实管理工作；募集西藏青少年发展资金和西藏青年创业就业基金；负责捐赠资金、物资的接收、管理、调剂和监督的工作。</w:t>
      </w:r>
    </w:p>
    <w:p>
      <w:pPr>
        <w:ind w:firstLine="640" w:firstLineChars="200"/>
        <w:rPr>
          <w:rFonts w:ascii="仿宋" w:hAnsi="仿宋" w:eastAsia="仿宋"/>
          <w:sz w:val="32"/>
          <w:szCs w:val="32"/>
        </w:rPr>
      </w:pPr>
      <w:r>
        <w:rPr>
          <w:rFonts w:hint="eastAsia" w:ascii="仿宋" w:hAnsi="仿宋" w:eastAsia="仿宋" w:cs="宋体"/>
          <w:sz w:val="32"/>
          <w:szCs w:val="32"/>
        </w:rPr>
        <w:t>（10）机关后勤服务中心（副县级）。负责统筹协调委机关工作生活区域规划、建设以及公共设施设备、公共环境卫生的管护、公共安全维护等工作；负责委机关后勤资产管理工作；负责委机关公务车辆运行保障、驾驶员综合管理工作；承担委机关重要接待和重要会务服务工作。</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共青团西藏自治区委员会（本级）</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共青团西藏自治区委员会（本级）</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2024年度部门（单位）预算数据分析</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一、收支总体情况</w:t>
      </w:r>
    </w:p>
    <w:p>
      <w:pPr>
        <w:ind w:firstLine="640" w:firstLineChars="200"/>
        <w:rPr>
          <w:rFonts w:ascii="宋体" w:hAnsi="宋体" w:cs="宋体"/>
          <w:color w:val="000000"/>
          <w:kern w:val="0"/>
          <w:sz w:val="32"/>
          <w:szCs w:val="32"/>
        </w:rPr>
      </w:pPr>
      <w:r>
        <w:rPr>
          <w:rFonts w:hint="eastAsia" w:ascii="仿宋" w:hAnsi="仿宋" w:eastAsia="仿宋"/>
          <w:sz w:val="32"/>
          <w:szCs w:val="32"/>
        </w:rPr>
        <w:t>收支总预算</w:t>
      </w:r>
      <w:r>
        <w:rPr>
          <w:rFonts w:hint="eastAsia" w:ascii="宋体" w:hAnsi="宋体" w:cs="宋体"/>
          <w:kern w:val="0"/>
          <w:sz w:val="32"/>
          <w:szCs w:val="32"/>
        </w:rPr>
        <w:t>14331</w:t>
      </w:r>
      <w:r>
        <w:rPr>
          <w:rFonts w:hint="eastAsia" w:ascii="仿宋" w:hAnsi="仿宋" w:eastAsia="仿宋"/>
          <w:sz w:val="32"/>
          <w:szCs w:val="32"/>
        </w:rPr>
        <w:t>万元。收入主要为：一般公共预算拨款收入</w:t>
      </w:r>
      <w:r>
        <w:rPr>
          <w:rFonts w:hint="eastAsia" w:ascii="宋体" w:hAnsi="宋体" w:cs="宋体"/>
          <w:kern w:val="0"/>
          <w:sz w:val="32"/>
          <w:szCs w:val="32"/>
        </w:rPr>
        <w:t>13,927.54</w:t>
      </w:r>
      <w:r>
        <w:rPr>
          <w:rFonts w:hint="eastAsia" w:ascii="仿宋" w:hAnsi="仿宋" w:eastAsia="仿宋"/>
          <w:sz w:val="32"/>
          <w:szCs w:val="32"/>
        </w:rPr>
        <w:t>万元、 政府性基金预算收入263万元、结余结转资金140.46万元（单位资金调账前）</w:t>
      </w:r>
      <w:r>
        <w:rPr>
          <w:rFonts w:hint="eastAsia" w:ascii="仿宋" w:hAnsi="仿宋" w:eastAsia="仿宋"/>
          <w:color w:val="FF0000"/>
          <w:sz w:val="32"/>
          <w:szCs w:val="32"/>
        </w:rPr>
        <w:t>;</w:t>
      </w:r>
      <w:r>
        <w:rPr>
          <w:rFonts w:hint="eastAsia" w:ascii="仿宋" w:hAnsi="仿宋" w:eastAsia="仿宋"/>
          <w:sz w:val="32"/>
          <w:szCs w:val="32"/>
        </w:rPr>
        <w:t>支出包括：一般公共服务支出</w:t>
      </w:r>
      <w:r>
        <w:rPr>
          <w:rFonts w:hint="eastAsia" w:ascii="宋体" w:hAnsi="宋体" w:cs="宋体"/>
          <w:color w:val="000000"/>
          <w:kern w:val="0"/>
          <w:sz w:val="32"/>
          <w:szCs w:val="32"/>
        </w:rPr>
        <w:t>13,588.62</w:t>
      </w:r>
      <w:r>
        <w:rPr>
          <w:rFonts w:hint="eastAsia" w:ascii="仿宋" w:hAnsi="仿宋" w:eastAsia="仿宋"/>
          <w:sz w:val="32"/>
          <w:szCs w:val="32"/>
        </w:rPr>
        <w:t>万元、社会保障和就业支出</w:t>
      </w:r>
      <w:r>
        <w:rPr>
          <w:rFonts w:hint="eastAsia" w:ascii="宋体" w:hAnsi="宋体" w:cs="宋体"/>
          <w:color w:val="000000"/>
          <w:kern w:val="0"/>
          <w:sz w:val="32"/>
          <w:szCs w:val="32"/>
        </w:rPr>
        <w:t>204.38</w:t>
      </w:r>
      <w:r>
        <w:rPr>
          <w:rFonts w:hint="eastAsia" w:ascii="仿宋" w:hAnsi="仿宋" w:eastAsia="仿宋"/>
          <w:sz w:val="32"/>
          <w:szCs w:val="32"/>
        </w:rPr>
        <w:t>万元、卫生健康支出</w:t>
      </w:r>
      <w:r>
        <w:rPr>
          <w:rFonts w:hint="eastAsia" w:ascii="宋体" w:hAnsi="宋体" w:cs="宋体"/>
          <w:color w:val="000000"/>
          <w:kern w:val="0"/>
          <w:sz w:val="32"/>
          <w:szCs w:val="32"/>
        </w:rPr>
        <w:t>121.68</w:t>
      </w:r>
      <w:r>
        <w:rPr>
          <w:rFonts w:hint="eastAsia" w:ascii="仿宋" w:hAnsi="仿宋" w:eastAsia="仿宋"/>
          <w:sz w:val="32"/>
          <w:szCs w:val="32"/>
        </w:rPr>
        <w:t>万元、住房保障支出</w:t>
      </w:r>
      <w:r>
        <w:rPr>
          <w:rFonts w:hint="eastAsia" w:ascii="宋体" w:hAnsi="宋体" w:cs="宋体"/>
          <w:color w:val="000000"/>
          <w:kern w:val="0"/>
          <w:sz w:val="32"/>
          <w:szCs w:val="32"/>
        </w:rPr>
        <w:t>153.32</w:t>
      </w:r>
      <w:r>
        <w:rPr>
          <w:rFonts w:hint="eastAsia" w:ascii="仿宋" w:hAnsi="仿宋" w:eastAsia="仿宋"/>
          <w:sz w:val="32"/>
          <w:szCs w:val="32"/>
        </w:rPr>
        <w:t>万元、其他支出263万元。</w:t>
      </w:r>
    </w:p>
    <w:p>
      <w:pPr>
        <w:ind w:firstLine="640" w:firstLineChars="200"/>
        <w:rPr>
          <w:rFonts w:ascii="黑体" w:hAnsi="黑体" w:eastAsia="黑体"/>
          <w:sz w:val="32"/>
          <w:szCs w:val="32"/>
        </w:rPr>
      </w:pPr>
      <w:r>
        <w:rPr>
          <w:rFonts w:hint="eastAsia" w:ascii="黑体" w:hAnsi="黑体" w:eastAsia="黑体"/>
          <w:sz w:val="32"/>
          <w:szCs w:val="32"/>
        </w:rPr>
        <w:t>二、收入总体情况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收入预算总量14331万元，同比增加175.66万元，主要</w:t>
      </w:r>
      <w:r>
        <w:rPr>
          <w:rFonts w:ascii="仿宋" w:hAnsi="仿宋" w:eastAsia="仿宋"/>
          <w:sz w:val="32"/>
          <w:szCs w:val="32"/>
        </w:rPr>
        <w:t>原因</w:t>
      </w:r>
      <w:r>
        <w:rPr>
          <w:rFonts w:hint="eastAsia" w:ascii="仿宋" w:hAnsi="仿宋" w:eastAsia="仿宋"/>
          <w:sz w:val="32"/>
          <w:szCs w:val="32"/>
        </w:rPr>
        <w:t>：一是根据工作需要2023年新增项目中：共青团西藏自治区委员会第十一次代表大会项目（五年一次换届会）及干部人事档案数字化项目已实施完成，本年预算中不再申请相关经费预算；二是根据工作需要今年通过政府性基金预算新增项目民族团结交流活动经费;三是根据年度工作计划西藏共青团助力创建全国民族团结进步模范区项目经费预算有所增加。</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收入预算总量14331万元，其中：一般公共预算拨款收入1</w:t>
      </w:r>
      <w:r>
        <w:rPr>
          <w:rFonts w:hint="eastAsia" w:ascii="仿宋" w:hAnsi="仿宋" w:eastAsia="仿宋"/>
          <w:sz w:val="32"/>
          <w:szCs w:val="32"/>
          <w:lang w:val="en-US" w:eastAsia="zh-CN"/>
        </w:rPr>
        <w:t>3927.54</w:t>
      </w:r>
      <w:r>
        <w:rPr>
          <w:rFonts w:hint="eastAsia" w:ascii="仿宋" w:hAnsi="仿宋" w:eastAsia="仿宋"/>
          <w:sz w:val="32"/>
          <w:szCs w:val="32"/>
        </w:rPr>
        <w:t>万元，占9</w:t>
      </w:r>
      <w:r>
        <w:rPr>
          <w:rFonts w:hint="eastAsia" w:ascii="仿宋" w:hAnsi="仿宋" w:eastAsia="仿宋"/>
          <w:sz w:val="32"/>
          <w:szCs w:val="32"/>
          <w:lang w:val="en-US" w:eastAsia="zh-CN"/>
        </w:rPr>
        <w:t>7.18</w:t>
      </w:r>
      <w:r>
        <w:rPr>
          <w:rFonts w:hint="eastAsia" w:ascii="仿宋" w:hAnsi="仿宋" w:eastAsia="仿宋"/>
          <w:sz w:val="32"/>
          <w:szCs w:val="32"/>
        </w:rPr>
        <w:t>%;政府性基金预算收入263万元，占1.8</w:t>
      </w: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结余结转140.46万元（单位资金），占0.98%</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支出预算总量14331万元，同比增加175.66万元，主要</w:t>
      </w:r>
      <w:r>
        <w:rPr>
          <w:rFonts w:ascii="仿宋" w:hAnsi="仿宋" w:eastAsia="仿宋"/>
          <w:sz w:val="32"/>
          <w:szCs w:val="32"/>
        </w:rPr>
        <w:t>原因是：</w:t>
      </w:r>
      <w:r>
        <w:rPr>
          <w:rFonts w:hint="eastAsia" w:ascii="仿宋" w:hAnsi="仿宋" w:eastAsia="仿宋"/>
          <w:sz w:val="32"/>
          <w:szCs w:val="32"/>
        </w:rPr>
        <w:t>主要</w:t>
      </w:r>
      <w:r>
        <w:rPr>
          <w:rFonts w:ascii="仿宋" w:hAnsi="仿宋" w:eastAsia="仿宋"/>
          <w:sz w:val="32"/>
          <w:szCs w:val="32"/>
        </w:rPr>
        <w:t>原因</w:t>
      </w:r>
      <w:r>
        <w:rPr>
          <w:rFonts w:hint="eastAsia" w:ascii="仿宋" w:hAnsi="仿宋" w:eastAsia="仿宋"/>
          <w:sz w:val="32"/>
          <w:szCs w:val="32"/>
        </w:rPr>
        <w:t>：一是根据工作需要2023年新增项目中：共青团西藏自治区委员会第十一次代表大会项目（五年一次换届会）及干部人事档案数字化项目已实施完成，本年预算中不再申请相关经费预算；二是根据工作需要今年通过政府性基金预算新增项目民族团结交流计划经费;三是根据年度工作计划西藏共青团助力创建全国民族团结进步模范区项目经费预算有所增加。</w:t>
      </w:r>
    </w:p>
    <w:p>
      <w:pPr>
        <w:ind w:firstLine="640" w:firstLineChars="200"/>
        <w:rPr>
          <w:rFonts w:ascii="仿宋" w:hAnsi="仿宋" w:eastAsia="仿宋"/>
          <w:sz w:val="32"/>
          <w:szCs w:val="32"/>
        </w:rPr>
      </w:pPr>
      <w:r>
        <w:rPr>
          <w:rFonts w:hint="eastAsia" w:ascii="仿宋" w:hAnsi="仿宋" w:eastAsia="仿宋"/>
          <w:sz w:val="32"/>
          <w:szCs w:val="32"/>
        </w:rPr>
        <w:t>支出预算总量14331万元，其中：基本支出2455.96万元、占17.31%；项目支出11875.04万元，占82.69%。</w:t>
      </w:r>
    </w:p>
    <w:p>
      <w:pPr>
        <w:ind w:firstLine="640" w:firstLineChars="200"/>
        <w:rPr>
          <w:rFonts w:ascii="黑体" w:hAnsi="黑体" w:eastAsia="黑体"/>
          <w:sz w:val="32"/>
          <w:szCs w:val="32"/>
        </w:rPr>
      </w:pPr>
      <w:r>
        <w:rPr>
          <w:rFonts w:hint="eastAsia" w:ascii="黑体" w:hAnsi="黑体" w:eastAsia="黑体"/>
          <w:sz w:val="32"/>
          <w:szCs w:val="32"/>
        </w:rPr>
        <w:t>四、一般公共预算收支总体情况（财政拨款）</w:t>
      </w:r>
    </w:p>
    <w:p>
      <w:pPr>
        <w:ind w:firstLine="640" w:firstLineChars="200"/>
        <w:rPr>
          <w:rFonts w:ascii="仿宋" w:hAnsi="仿宋" w:eastAsia="仿宋"/>
          <w:sz w:val="32"/>
          <w:szCs w:val="32"/>
        </w:rPr>
      </w:pPr>
      <w:r>
        <w:rPr>
          <w:rFonts w:hint="eastAsia" w:ascii="仿宋" w:hAnsi="仿宋" w:eastAsia="仿宋"/>
          <w:sz w:val="32"/>
          <w:szCs w:val="32"/>
        </w:rPr>
        <w:t>财政拨款收支总预算14190.54万</w:t>
      </w:r>
      <w:r>
        <w:rPr>
          <w:rFonts w:hint="eastAsia" w:ascii="仿宋" w:hAnsi="仿宋" w:eastAsia="仿宋"/>
          <w:b/>
          <w:bCs/>
          <w:sz w:val="32"/>
          <w:szCs w:val="32"/>
        </w:rPr>
        <w:t>元，</w:t>
      </w:r>
      <w:r>
        <w:rPr>
          <w:rFonts w:hint="eastAsia" w:ascii="仿宋" w:hAnsi="仿宋" w:eastAsia="仿宋"/>
          <w:sz w:val="32"/>
          <w:szCs w:val="32"/>
        </w:rPr>
        <w:t>同比</w:t>
      </w:r>
      <w:r>
        <w:rPr>
          <w:rFonts w:hint="eastAsia" w:ascii="仿宋" w:hAnsi="仿宋" w:eastAsia="仿宋"/>
          <w:sz w:val="32"/>
          <w:szCs w:val="32"/>
          <w:lang w:val="en-US" w:eastAsia="zh-CN"/>
        </w:rPr>
        <w:t>增加</w:t>
      </w:r>
      <w:r>
        <w:rPr>
          <w:rFonts w:hint="eastAsia" w:ascii="仿宋" w:hAnsi="仿宋" w:eastAsia="仿宋"/>
          <w:sz w:val="32"/>
          <w:szCs w:val="32"/>
        </w:rPr>
        <w:t>174.13万元，主要</w:t>
      </w:r>
      <w:r>
        <w:rPr>
          <w:rFonts w:ascii="仿宋" w:hAnsi="仿宋" w:eastAsia="仿宋"/>
          <w:sz w:val="32"/>
          <w:szCs w:val="32"/>
        </w:rPr>
        <w:t>原因是：</w:t>
      </w:r>
      <w:r>
        <w:rPr>
          <w:rFonts w:hint="eastAsia" w:ascii="仿宋" w:hAnsi="仿宋" w:eastAsia="仿宋"/>
          <w:sz w:val="32"/>
          <w:szCs w:val="32"/>
        </w:rPr>
        <w:t>一是根据工作需要2023年新增项目中：共青团西藏自治区委员会第十一次代表大会项目（五年一次换届会）及干部人事档案数字化项目已实施完成，本年预算中不再申请相关经费预算；二是根据工作需要今年通过政府性基金预算新增项目民族团结交流计划经费;三是根据年度工作计划西藏共青团助力创建全国民族团结进步模范区项目经费预算有所增加。收入包括：一般公共预算当年拨款收入13927.54万元、政府性基金预算当年预算收入263万元、上年结余结转0万元；支出包括：一般公共服务支出13448.16万元、外交支出0万元、教育支出0万元、科学技术支出0万元、文化旅游体育与传媒支出0万元、社会保障和就业支出204.38万元、卫生健康支出121.68万元、住房保障支出153.32万元、其他支出263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b/>
          <w:bCs/>
          <w:sz w:val="32"/>
          <w:szCs w:val="32"/>
        </w:rPr>
      </w:pPr>
      <w:r>
        <w:rPr>
          <w:rFonts w:hint="eastAsia" w:ascii="仿宋" w:hAnsi="仿宋" w:eastAsia="仿宋"/>
          <w:sz w:val="32"/>
          <w:szCs w:val="32"/>
        </w:rPr>
        <w:t>一般公共预算当年拨款13927.54万元</w:t>
      </w:r>
      <w:r>
        <w:rPr>
          <w:rFonts w:hint="eastAsia" w:ascii="仿宋" w:hAnsi="仿宋" w:eastAsia="仿宋"/>
          <w:b/>
          <w:bCs/>
          <w:sz w:val="32"/>
          <w:szCs w:val="32"/>
        </w:rPr>
        <w:t>,</w:t>
      </w:r>
      <w:r>
        <w:rPr>
          <w:rFonts w:hint="eastAsia" w:ascii="仿宋" w:hAnsi="仿宋" w:eastAsia="仿宋"/>
          <w:sz w:val="32"/>
          <w:szCs w:val="32"/>
        </w:rPr>
        <w:t>比2023年执行数</w:t>
      </w:r>
      <w:r>
        <w:rPr>
          <w:rFonts w:ascii="仿宋" w:hAnsi="仿宋" w:eastAsia="仿宋"/>
          <w:sz w:val="32"/>
          <w:szCs w:val="32"/>
        </w:rPr>
        <w:t>增加</w:t>
      </w:r>
      <w:r>
        <w:rPr>
          <w:rFonts w:hint="eastAsia" w:ascii="仿宋" w:hAnsi="仿宋" w:eastAsia="仿宋"/>
          <w:sz w:val="32"/>
          <w:szCs w:val="32"/>
        </w:rPr>
        <w:t>）1869.21万元，主要原因：一是根据工作需要2023年志愿者社保滞纳金及志愿者补贴经费结转资金直接纳入2024年度预算中;二是结合工作实际农牧民技能培训政府采购尾款根据采购合同直接纳入2024年年度预算中。</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rPr>
        <w:t>一般公共预算当年拨款13927.54万元,主要</w:t>
      </w:r>
      <w:r>
        <w:rPr>
          <w:rFonts w:ascii="仿宋" w:hAnsi="仿宋" w:eastAsia="仿宋"/>
          <w:sz w:val="32"/>
          <w:szCs w:val="32"/>
        </w:rPr>
        <w:t>用于以下方面：</w:t>
      </w:r>
      <w:r>
        <w:rPr>
          <w:rFonts w:hint="eastAsia" w:ascii="仿宋" w:hAnsi="仿宋" w:eastAsia="仿宋"/>
          <w:sz w:val="32"/>
          <w:szCs w:val="32"/>
        </w:rPr>
        <w:t>一般公共服务支出13448.16万元，占96.56%；社会保障和就业支出204.38万元，占1.47%；卫生健康支出121.68万元，占0.87%；住房保障支出153.32万元，占1.10%。</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b w:val="0"/>
          <w:bCs w:val="0"/>
          <w:color w:val="auto"/>
          <w:sz w:val="32"/>
          <w:szCs w:val="32"/>
        </w:rPr>
      </w:pPr>
      <w:r>
        <w:rPr>
          <w:rFonts w:hint="eastAsia" w:ascii="仿宋" w:hAnsi="仿宋" w:eastAsia="仿宋"/>
          <w:b w:val="0"/>
          <w:bCs w:val="0"/>
          <w:sz w:val="32"/>
          <w:szCs w:val="32"/>
        </w:rPr>
        <w:t>1、一般公共服务支出（类）群众团体事务（款）一般行政管理事务（项）预算数为11330.58万元，比2023年执行数</w:t>
      </w:r>
      <w:r>
        <w:rPr>
          <w:rFonts w:hint="eastAsia" w:ascii="仿宋" w:hAnsi="仿宋" w:eastAsia="仿宋"/>
          <w:b w:val="0"/>
          <w:bCs w:val="0"/>
          <w:sz w:val="32"/>
          <w:szCs w:val="32"/>
          <w:lang w:val="en-US" w:eastAsia="zh-CN"/>
        </w:rPr>
        <w:t>增加了6914.16</w:t>
      </w:r>
      <w:r>
        <w:rPr>
          <w:rFonts w:hint="eastAsia" w:ascii="仿宋" w:hAnsi="仿宋" w:eastAsia="仿宋"/>
          <w:b w:val="0"/>
          <w:bCs w:val="0"/>
          <w:color w:val="auto"/>
          <w:sz w:val="32"/>
          <w:szCs w:val="32"/>
        </w:rPr>
        <w:t>万元。主要是2023年大学生志愿服务西部计划中央财政补助资金预算功能科目为一般公共服务支出（类）群众团体事务（款）其他群众团体事务支出（项），而在202</w:t>
      </w:r>
      <w:r>
        <w:rPr>
          <w:rFonts w:hint="eastAsia" w:ascii="仿宋" w:hAnsi="仿宋" w:eastAsia="仿宋"/>
          <w:b w:val="0"/>
          <w:bCs w:val="0"/>
          <w:color w:val="auto"/>
          <w:sz w:val="32"/>
          <w:szCs w:val="32"/>
          <w:lang w:val="en-US" w:eastAsia="zh-CN"/>
        </w:rPr>
        <w:t>4</w:t>
      </w:r>
      <w:r>
        <w:rPr>
          <w:rFonts w:hint="eastAsia" w:ascii="仿宋" w:hAnsi="仿宋" w:eastAsia="仿宋"/>
          <w:b w:val="0"/>
          <w:bCs w:val="0"/>
          <w:color w:val="auto"/>
          <w:sz w:val="32"/>
          <w:szCs w:val="32"/>
        </w:rPr>
        <w:t>年相关项目年初预算功能科目为一般公共服务支出（类）群众团体事务（款）一般行政管理事务（项）。</w:t>
      </w:r>
    </w:p>
    <w:p>
      <w:pPr>
        <w:ind w:firstLine="640" w:firstLineChars="200"/>
        <w:rPr>
          <w:rFonts w:ascii="仿宋" w:hAnsi="仿宋" w:eastAsia="仿宋"/>
          <w:b w:val="0"/>
          <w:bCs w:val="0"/>
          <w:color w:val="auto"/>
          <w:sz w:val="32"/>
          <w:szCs w:val="32"/>
        </w:rPr>
      </w:pPr>
      <w:r>
        <w:rPr>
          <w:rFonts w:hint="eastAsia" w:ascii="仿宋" w:hAnsi="仿宋" w:eastAsia="仿宋"/>
          <w:b w:val="0"/>
          <w:bCs w:val="0"/>
          <w:color w:val="auto"/>
          <w:sz w:val="32"/>
          <w:szCs w:val="32"/>
        </w:rPr>
        <w:t>2.一般公共服务支出（类）群众团体事务（款）行政运行（项）预算数为1976.58万元（不含结转），比2023年执行数增加</w:t>
      </w:r>
      <w:r>
        <w:rPr>
          <w:rFonts w:hint="eastAsia" w:ascii="仿宋" w:hAnsi="仿宋" w:eastAsia="仿宋"/>
          <w:b w:val="0"/>
          <w:bCs w:val="0"/>
          <w:color w:val="auto"/>
          <w:sz w:val="32"/>
          <w:szCs w:val="32"/>
          <w:lang w:val="en-US" w:eastAsia="zh-CN"/>
        </w:rPr>
        <w:t>170.84</w:t>
      </w:r>
      <w:r>
        <w:rPr>
          <w:rFonts w:hint="eastAsia" w:ascii="仿宋" w:hAnsi="仿宋" w:eastAsia="仿宋"/>
          <w:b w:val="0"/>
          <w:bCs w:val="0"/>
          <w:color w:val="auto"/>
          <w:sz w:val="32"/>
          <w:szCs w:val="32"/>
        </w:rPr>
        <w:t>万元，增长</w:t>
      </w:r>
      <w:r>
        <w:rPr>
          <w:rFonts w:hint="eastAsia" w:ascii="仿宋" w:hAnsi="仿宋" w:eastAsia="仿宋"/>
          <w:b w:val="0"/>
          <w:bCs w:val="0"/>
          <w:color w:val="auto"/>
          <w:sz w:val="32"/>
          <w:szCs w:val="32"/>
          <w:lang w:val="en-US" w:eastAsia="zh-CN"/>
        </w:rPr>
        <w:t>9.46</w:t>
      </w:r>
      <w:r>
        <w:rPr>
          <w:rFonts w:hint="eastAsia" w:ascii="仿宋" w:hAnsi="仿宋" w:eastAsia="仿宋"/>
          <w:b w:val="0"/>
          <w:bCs w:val="0"/>
          <w:color w:val="auto"/>
          <w:sz w:val="32"/>
          <w:szCs w:val="32"/>
        </w:rPr>
        <w:t>%。主要原因一是今年预算中根据工作实际</w:t>
      </w:r>
      <w:r>
        <w:rPr>
          <w:rFonts w:hint="eastAsia" w:ascii="仿宋" w:hAnsi="仿宋" w:eastAsia="仿宋"/>
          <w:b w:val="0"/>
          <w:bCs w:val="0"/>
          <w:color w:val="auto"/>
          <w:sz w:val="32"/>
          <w:szCs w:val="32"/>
          <w:lang w:val="en-US" w:eastAsia="zh-CN"/>
        </w:rPr>
        <w:t>2023年新增人员工资纳入到本年预算中；二</w:t>
      </w:r>
      <w:r>
        <w:rPr>
          <w:rFonts w:hint="eastAsia" w:ascii="仿宋" w:hAnsi="仿宋" w:eastAsia="仿宋"/>
          <w:b w:val="0"/>
          <w:bCs w:val="0"/>
          <w:color w:val="auto"/>
          <w:sz w:val="32"/>
          <w:szCs w:val="32"/>
        </w:rPr>
        <w:t>是人员工资增资相关经费预算有所增加。</w:t>
      </w:r>
    </w:p>
    <w:p>
      <w:pPr>
        <w:ind w:firstLine="640" w:firstLineChars="200"/>
        <w:rPr>
          <w:rFonts w:ascii="仿宋" w:hAnsi="仿宋" w:eastAsia="仿宋"/>
          <w:b/>
          <w:bCs/>
          <w:color w:val="auto"/>
          <w:sz w:val="32"/>
          <w:szCs w:val="32"/>
        </w:rPr>
      </w:pPr>
      <w:r>
        <w:rPr>
          <w:rFonts w:hint="eastAsia" w:ascii="仿宋" w:hAnsi="仿宋" w:eastAsia="仿宋"/>
          <w:b w:val="0"/>
          <w:bCs w:val="0"/>
          <w:color w:val="auto"/>
          <w:sz w:val="32"/>
          <w:szCs w:val="32"/>
        </w:rPr>
        <w:t>3.一般公共服务支出（类）群众团体事务（款）其他群众团体事务支出（项）预算数为141万元，比2023年执行数</w:t>
      </w:r>
      <w:r>
        <w:rPr>
          <w:rFonts w:hint="eastAsia" w:ascii="仿宋" w:hAnsi="仿宋" w:eastAsia="仿宋"/>
          <w:b w:val="0"/>
          <w:bCs w:val="0"/>
          <w:color w:val="auto"/>
          <w:sz w:val="32"/>
          <w:szCs w:val="32"/>
          <w:lang w:val="en-US" w:eastAsia="zh-CN"/>
        </w:rPr>
        <w:t>减少5277.25</w:t>
      </w:r>
      <w:r>
        <w:rPr>
          <w:rFonts w:hint="eastAsia" w:ascii="仿宋" w:hAnsi="仿宋" w:eastAsia="仿宋"/>
          <w:b w:val="0"/>
          <w:bCs w:val="0"/>
          <w:color w:val="auto"/>
          <w:sz w:val="32"/>
          <w:szCs w:val="32"/>
        </w:rPr>
        <w:t>万元。主要是2023年大学生志愿服务西部计划中央财政补助资金预算功能科目为一般公共服务支出（类）群众团体事务（款）其他群众团体事务支出（项），而在202</w:t>
      </w:r>
      <w:r>
        <w:rPr>
          <w:rFonts w:hint="eastAsia" w:ascii="仿宋" w:hAnsi="仿宋" w:eastAsia="仿宋"/>
          <w:b w:val="0"/>
          <w:bCs w:val="0"/>
          <w:color w:val="auto"/>
          <w:sz w:val="32"/>
          <w:szCs w:val="32"/>
          <w:lang w:val="en-US" w:eastAsia="zh-CN"/>
        </w:rPr>
        <w:t>4</w:t>
      </w:r>
      <w:r>
        <w:rPr>
          <w:rFonts w:hint="eastAsia" w:ascii="仿宋" w:hAnsi="仿宋" w:eastAsia="仿宋"/>
          <w:b w:val="0"/>
          <w:bCs w:val="0"/>
          <w:color w:val="auto"/>
          <w:sz w:val="32"/>
          <w:szCs w:val="32"/>
        </w:rPr>
        <w:t>年相关项目年初预算功能科目为一般公共服务支出（类）群众团体事务（款）一般行政管理事务（项）</w:t>
      </w:r>
      <w:r>
        <w:rPr>
          <w:rFonts w:hint="eastAsia" w:ascii="仿宋" w:hAnsi="仿宋" w:eastAsia="仿宋"/>
          <w:b/>
          <w:bCs/>
          <w:color w:val="auto"/>
          <w:sz w:val="32"/>
          <w:szCs w:val="32"/>
        </w:rPr>
        <w:t>。</w:t>
      </w:r>
    </w:p>
    <w:p>
      <w:pPr>
        <w:ind w:firstLine="640" w:firstLineChars="200"/>
        <w:rPr>
          <w:rFonts w:ascii="仿宋" w:hAnsi="仿宋" w:eastAsia="仿宋"/>
          <w:sz w:val="32"/>
          <w:szCs w:val="32"/>
        </w:rPr>
      </w:pPr>
      <w:r>
        <w:rPr>
          <w:rFonts w:hint="eastAsia" w:ascii="仿宋" w:hAnsi="仿宋" w:eastAsia="仿宋"/>
          <w:sz w:val="32"/>
          <w:szCs w:val="32"/>
        </w:rPr>
        <w:t>4.社会保障和就业支出（类）行政事业单位养老支出（款）机关事业单位基本养老保险缴费支出（项）预算数为204.38万元，比2023年执行数增加32.25万元，增长18.74%。主要是人员工资增资相关经费缴费基数增长单位配套预算资金有所增加。</w:t>
      </w:r>
    </w:p>
    <w:p>
      <w:pPr>
        <w:ind w:firstLine="640" w:firstLineChars="200"/>
        <w:rPr>
          <w:rFonts w:ascii="仿宋" w:hAnsi="仿宋" w:eastAsia="仿宋"/>
          <w:sz w:val="32"/>
          <w:szCs w:val="32"/>
        </w:rPr>
      </w:pPr>
      <w:r>
        <w:rPr>
          <w:rFonts w:hint="eastAsia" w:ascii="仿宋" w:hAnsi="仿宋" w:eastAsia="仿宋"/>
          <w:sz w:val="32"/>
          <w:szCs w:val="32"/>
        </w:rPr>
        <w:t>5.卫生健康支出（类）行政事业单位医疗（款）公务员医疗补助（项）预算数为23.33万元，比2023年执行数增加3.82万元，增长19.58%。主要是人员工资增资相关经费缴费基数增长单位配套预算资金有所增加。</w:t>
      </w:r>
    </w:p>
    <w:p>
      <w:pPr>
        <w:ind w:firstLine="640" w:firstLineChars="200"/>
        <w:rPr>
          <w:rFonts w:ascii="仿宋" w:hAnsi="仿宋" w:eastAsia="仿宋"/>
          <w:sz w:val="32"/>
          <w:szCs w:val="32"/>
        </w:rPr>
      </w:pPr>
      <w:r>
        <w:rPr>
          <w:rFonts w:hint="eastAsia" w:ascii="仿宋" w:hAnsi="仿宋" w:eastAsia="仿宋"/>
          <w:sz w:val="32"/>
          <w:szCs w:val="32"/>
        </w:rPr>
        <w:t>6.卫生健康支出（类）行政事业单位医疗（款）行政单位医疗（项）预算数为98.35万元，比2023年执行数增加15.52万元，增长18.74%。主要是人员工资增资相关经费缴费基数增长单位配套预算资金有所增加。</w:t>
      </w:r>
    </w:p>
    <w:p>
      <w:pPr>
        <w:ind w:firstLine="640" w:firstLineChars="200"/>
        <w:rPr>
          <w:rFonts w:ascii="仿宋" w:hAnsi="仿宋" w:eastAsia="仿宋"/>
          <w:sz w:val="32"/>
          <w:szCs w:val="32"/>
        </w:rPr>
      </w:pPr>
      <w:r>
        <w:rPr>
          <w:rFonts w:hint="eastAsia" w:ascii="仿宋" w:hAnsi="仿宋" w:eastAsia="仿宋"/>
          <w:sz w:val="32"/>
          <w:szCs w:val="32"/>
        </w:rPr>
        <w:t>7.住房保障支出（类）住房改革支出（款）住房公积金（项）预算数为153.32万元，比2023年执行数增加13.11万元，增长9.35%。主要是人员工资增资相关经费缴费基数增长单位配套预算资金有所增加。</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年一般公共预算基本支出2455.96万元，其中：</w:t>
      </w:r>
    </w:p>
    <w:p>
      <w:pPr>
        <w:ind w:firstLine="643" w:firstLineChars="200"/>
        <w:rPr>
          <w:rFonts w:ascii="仿宋" w:hAnsi="仿宋" w:eastAsia="仿宋"/>
          <w:sz w:val="32"/>
          <w:szCs w:val="32"/>
        </w:rPr>
      </w:pPr>
      <w:r>
        <w:rPr>
          <w:rFonts w:hint="eastAsia" w:ascii="仿宋" w:hAnsi="仿宋" w:eastAsia="仿宋"/>
          <w:b/>
          <w:sz w:val="32"/>
          <w:szCs w:val="32"/>
        </w:rPr>
        <w:t>人员经费2187.67万元</w:t>
      </w:r>
      <w:r>
        <w:rPr>
          <w:rFonts w:hint="eastAsia" w:ascii="仿宋" w:hAnsi="仿宋" w:eastAsia="仿宋"/>
          <w:sz w:val="32"/>
          <w:szCs w:val="32"/>
        </w:rPr>
        <w:t>，主要包括：</w:t>
      </w:r>
      <w:r>
        <w:rPr>
          <w:rFonts w:ascii="仿宋" w:hAnsi="仿宋" w:eastAsia="仿宋"/>
          <w:sz w:val="32"/>
          <w:szCs w:val="32"/>
        </w:rPr>
        <w:t>工资</w:t>
      </w:r>
      <w:r>
        <w:rPr>
          <w:rFonts w:hint="eastAsia" w:ascii="仿宋" w:hAnsi="仿宋" w:eastAsia="仿宋"/>
          <w:sz w:val="32"/>
          <w:szCs w:val="32"/>
        </w:rPr>
        <w:t>性</w:t>
      </w:r>
      <w:r>
        <w:rPr>
          <w:rFonts w:ascii="仿宋" w:hAnsi="仿宋" w:eastAsia="仿宋"/>
          <w:sz w:val="32"/>
          <w:szCs w:val="32"/>
        </w:rPr>
        <w:t>支出</w:t>
      </w:r>
      <w:r>
        <w:rPr>
          <w:rFonts w:hint="eastAsia" w:ascii="仿宋" w:hAnsi="仿宋" w:eastAsia="仿宋"/>
          <w:sz w:val="32"/>
          <w:szCs w:val="32"/>
        </w:rPr>
        <w:t>1277.43万元（基本工资、津贴补贴、奖金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204.38万元、</w:t>
      </w:r>
      <w:r>
        <w:rPr>
          <w:rFonts w:ascii="仿宋" w:hAnsi="仿宋" w:eastAsia="仿宋"/>
          <w:sz w:val="32"/>
          <w:szCs w:val="32"/>
        </w:rPr>
        <w:t>职工基本医疗保险缴费</w:t>
      </w:r>
      <w:r>
        <w:rPr>
          <w:rFonts w:hint="eastAsia" w:ascii="仿宋" w:hAnsi="仿宋" w:eastAsia="仿宋"/>
          <w:sz w:val="32"/>
          <w:szCs w:val="32"/>
        </w:rPr>
        <w:t>98.35万元、</w:t>
      </w:r>
      <w:r>
        <w:rPr>
          <w:rFonts w:ascii="仿宋" w:hAnsi="仿宋" w:eastAsia="仿宋"/>
          <w:sz w:val="32"/>
          <w:szCs w:val="32"/>
        </w:rPr>
        <w:t>公务员医疗补助</w:t>
      </w:r>
      <w:r>
        <w:rPr>
          <w:rFonts w:hint="eastAsia" w:ascii="仿宋" w:hAnsi="仿宋" w:eastAsia="仿宋"/>
          <w:sz w:val="32"/>
          <w:szCs w:val="32"/>
        </w:rPr>
        <w:t>23.33万元、</w:t>
      </w:r>
      <w:r>
        <w:rPr>
          <w:rFonts w:ascii="仿宋" w:hAnsi="仿宋" w:eastAsia="仿宋"/>
          <w:sz w:val="32"/>
          <w:szCs w:val="32"/>
        </w:rPr>
        <w:t>其他社会保险缴费</w:t>
      </w:r>
      <w:r>
        <w:rPr>
          <w:rFonts w:hint="eastAsia" w:ascii="仿宋" w:hAnsi="仿宋" w:eastAsia="仿宋"/>
          <w:sz w:val="32"/>
          <w:szCs w:val="32"/>
        </w:rPr>
        <w:t>1.34万元（</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266.97万元（</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153.32万元，</w:t>
      </w:r>
      <w:r>
        <w:rPr>
          <w:rFonts w:ascii="仿宋" w:hAnsi="仿宋" w:eastAsia="仿宋"/>
          <w:sz w:val="32"/>
          <w:szCs w:val="32"/>
        </w:rPr>
        <w:t>对个人和家庭的补助</w:t>
      </w:r>
      <w:r>
        <w:rPr>
          <w:rFonts w:hint="eastAsia" w:ascii="仿宋" w:hAnsi="仿宋" w:eastAsia="仿宋"/>
          <w:sz w:val="32"/>
          <w:szCs w:val="32"/>
        </w:rPr>
        <w:t>162.55万元，其中：</w:t>
      </w:r>
      <w:r>
        <w:rPr>
          <w:rFonts w:ascii="仿宋" w:hAnsi="仿宋" w:eastAsia="仿宋"/>
          <w:sz w:val="32"/>
          <w:szCs w:val="32"/>
        </w:rPr>
        <w:t>抚恤金</w:t>
      </w:r>
      <w:r>
        <w:rPr>
          <w:rFonts w:hint="eastAsia" w:ascii="仿宋" w:hAnsi="仿宋" w:eastAsia="仿宋"/>
          <w:sz w:val="32"/>
          <w:szCs w:val="32"/>
        </w:rPr>
        <w:t>0.63万元、</w:t>
      </w:r>
      <w:r>
        <w:rPr>
          <w:rFonts w:ascii="仿宋" w:hAnsi="仿宋" w:eastAsia="仿宋"/>
          <w:sz w:val="32"/>
          <w:szCs w:val="32"/>
        </w:rPr>
        <w:t>生活补助</w:t>
      </w:r>
      <w:r>
        <w:rPr>
          <w:rFonts w:hint="eastAsia" w:ascii="仿宋" w:hAnsi="仿宋" w:eastAsia="仿宋"/>
          <w:sz w:val="32"/>
          <w:szCs w:val="32"/>
        </w:rPr>
        <w:t>103.93万元、</w:t>
      </w:r>
      <w:r>
        <w:rPr>
          <w:rFonts w:ascii="仿宋" w:hAnsi="仿宋" w:eastAsia="仿宋"/>
          <w:sz w:val="32"/>
          <w:szCs w:val="32"/>
        </w:rPr>
        <w:t>医疗费补助</w:t>
      </w:r>
      <w:r>
        <w:rPr>
          <w:rFonts w:hint="eastAsia" w:ascii="仿宋" w:hAnsi="仿宋" w:eastAsia="仿宋"/>
          <w:sz w:val="32"/>
          <w:szCs w:val="32"/>
        </w:rPr>
        <w:t>11.26万元、</w:t>
      </w:r>
      <w:r>
        <w:rPr>
          <w:rFonts w:ascii="仿宋" w:hAnsi="仿宋" w:eastAsia="仿宋"/>
          <w:sz w:val="32"/>
          <w:szCs w:val="32"/>
        </w:rPr>
        <w:t>其他对个人和家庭的补助</w:t>
      </w:r>
      <w:r>
        <w:rPr>
          <w:rFonts w:hint="eastAsia" w:ascii="仿宋" w:hAnsi="仿宋" w:eastAsia="仿宋"/>
          <w:sz w:val="32"/>
          <w:szCs w:val="32"/>
        </w:rPr>
        <w:t>46.74万元。</w:t>
      </w:r>
    </w:p>
    <w:p>
      <w:pPr>
        <w:ind w:firstLine="643" w:firstLineChars="200"/>
        <w:rPr>
          <w:rFonts w:ascii="仿宋" w:hAnsi="仿宋" w:eastAsia="仿宋"/>
          <w:sz w:val="32"/>
          <w:szCs w:val="32"/>
        </w:rPr>
      </w:pPr>
      <w:r>
        <w:rPr>
          <w:rFonts w:hint="eastAsia" w:ascii="仿宋" w:hAnsi="仿宋" w:eastAsia="仿宋"/>
          <w:b/>
          <w:sz w:val="32"/>
          <w:szCs w:val="32"/>
        </w:rPr>
        <w:t>公用经费268.29万元（</w:t>
      </w:r>
      <w:r>
        <w:rPr>
          <w:rFonts w:ascii="仿宋" w:hAnsi="仿宋" w:eastAsia="仿宋"/>
          <w:sz w:val="32"/>
          <w:szCs w:val="32"/>
        </w:rPr>
        <w:t>商品和服务支出</w:t>
      </w:r>
      <w:r>
        <w:rPr>
          <w:rFonts w:hint="eastAsia" w:ascii="仿宋" w:hAnsi="仿宋" w:eastAsia="仿宋"/>
          <w:b/>
          <w:sz w:val="32"/>
          <w:szCs w:val="32"/>
        </w:rPr>
        <w:t>），</w:t>
      </w:r>
      <w:r>
        <w:rPr>
          <w:rFonts w:hint="eastAsia" w:ascii="仿宋" w:hAnsi="仿宋" w:eastAsia="仿宋"/>
          <w:sz w:val="32"/>
          <w:szCs w:val="32"/>
        </w:rPr>
        <w:t>主要包括</w:t>
      </w:r>
      <w:r>
        <w:rPr>
          <w:rFonts w:ascii="仿宋" w:hAnsi="仿宋" w:eastAsia="仿宋"/>
          <w:sz w:val="32"/>
          <w:szCs w:val="32"/>
        </w:rPr>
        <w:t>办公费</w:t>
      </w:r>
      <w:r>
        <w:rPr>
          <w:rFonts w:hint="eastAsia" w:ascii="仿宋" w:hAnsi="仿宋" w:eastAsia="仿宋"/>
          <w:sz w:val="32"/>
          <w:szCs w:val="32"/>
        </w:rPr>
        <w:t>30.00万元、</w:t>
      </w:r>
      <w:r>
        <w:rPr>
          <w:rFonts w:ascii="仿宋" w:hAnsi="仿宋" w:eastAsia="仿宋"/>
          <w:sz w:val="32"/>
          <w:szCs w:val="32"/>
        </w:rPr>
        <w:t>印刷费</w:t>
      </w:r>
      <w:r>
        <w:rPr>
          <w:rFonts w:hint="eastAsia" w:ascii="仿宋" w:hAnsi="仿宋" w:eastAsia="仿宋"/>
          <w:sz w:val="32"/>
          <w:szCs w:val="32"/>
        </w:rPr>
        <w:t>1.00万元、</w:t>
      </w:r>
      <w:r>
        <w:rPr>
          <w:rFonts w:ascii="仿宋" w:hAnsi="仿宋" w:eastAsia="仿宋"/>
          <w:sz w:val="32"/>
          <w:szCs w:val="32"/>
        </w:rPr>
        <w:t>水费</w:t>
      </w:r>
      <w:r>
        <w:rPr>
          <w:rFonts w:hint="eastAsia" w:ascii="仿宋" w:hAnsi="仿宋" w:eastAsia="仿宋"/>
          <w:sz w:val="32"/>
          <w:szCs w:val="32"/>
        </w:rPr>
        <w:t>5.50万元、</w:t>
      </w:r>
      <w:r>
        <w:rPr>
          <w:rFonts w:ascii="仿宋" w:hAnsi="仿宋" w:eastAsia="仿宋"/>
          <w:sz w:val="32"/>
          <w:szCs w:val="32"/>
        </w:rPr>
        <w:t>电费</w:t>
      </w:r>
      <w:r>
        <w:rPr>
          <w:rFonts w:hint="eastAsia" w:ascii="仿宋" w:hAnsi="仿宋" w:eastAsia="仿宋"/>
          <w:sz w:val="32"/>
          <w:szCs w:val="32"/>
        </w:rPr>
        <w:t>20.00万元、</w:t>
      </w:r>
      <w:r>
        <w:rPr>
          <w:rFonts w:ascii="仿宋" w:hAnsi="仿宋" w:eastAsia="仿宋"/>
          <w:sz w:val="32"/>
          <w:szCs w:val="32"/>
        </w:rPr>
        <w:t>邮电费</w:t>
      </w:r>
      <w:r>
        <w:rPr>
          <w:rFonts w:hint="eastAsia" w:ascii="仿宋" w:hAnsi="仿宋" w:eastAsia="仿宋"/>
          <w:sz w:val="32"/>
          <w:szCs w:val="32"/>
        </w:rPr>
        <w:t>2.50万元、</w:t>
      </w:r>
      <w:r>
        <w:rPr>
          <w:rFonts w:ascii="仿宋" w:hAnsi="仿宋" w:eastAsia="仿宋"/>
          <w:sz w:val="32"/>
          <w:szCs w:val="32"/>
        </w:rPr>
        <w:t>取暖费</w:t>
      </w:r>
      <w:r>
        <w:rPr>
          <w:rFonts w:hint="eastAsia" w:ascii="仿宋" w:hAnsi="仿宋" w:eastAsia="仿宋"/>
          <w:sz w:val="32"/>
          <w:szCs w:val="32"/>
        </w:rPr>
        <w:t>16.00万元、</w:t>
      </w:r>
      <w:r>
        <w:rPr>
          <w:rFonts w:ascii="仿宋" w:hAnsi="仿宋" w:eastAsia="仿宋"/>
          <w:sz w:val="32"/>
          <w:szCs w:val="32"/>
        </w:rPr>
        <w:t>物业管理费</w:t>
      </w:r>
      <w:r>
        <w:rPr>
          <w:rFonts w:hint="eastAsia" w:ascii="仿宋" w:hAnsi="仿宋" w:eastAsia="仿宋"/>
          <w:sz w:val="32"/>
          <w:szCs w:val="32"/>
        </w:rPr>
        <w:t>0.72万元、</w:t>
      </w:r>
      <w:r>
        <w:rPr>
          <w:rFonts w:ascii="仿宋" w:hAnsi="仿宋" w:eastAsia="仿宋"/>
          <w:sz w:val="32"/>
          <w:szCs w:val="32"/>
        </w:rPr>
        <w:t>差旅费</w:t>
      </w:r>
      <w:r>
        <w:rPr>
          <w:rFonts w:hint="eastAsia" w:ascii="仿宋" w:hAnsi="仿宋" w:eastAsia="仿宋"/>
          <w:sz w:val="32"/>
          <w:szCs w:val="32"/>
        </w:rPr>
        <w:t>10.00万元、</w:t>
      </w:r>
      <w:r>
        <w:rPr>
          <w:rFonts w:ascii="仿宋" w:hAnsi="仿宋" w:eastAsia="仿宋"/>
          <w:sz w:val="32"/>
          <w:szCs w:val="32"/>
        </w:rPr>
        <w:t>维修(护)费</w:t>
      </w:r>
      <w:r>
        <w:rPr>
          <w:rFonts w:hint="eastAsia" w:ascii="仿宋" w:hAnsi="仿宋" w:eastAsia="仿宋"/>
          <w:sz w:val="32"/>
          <w:szCs w:val="32"/>
        </w:rPr>
        <w:t>8.00万元、</w:t>
      </w:r>
      <w:r>
        <w:rPr>
          <w:rFonts w:ascii="仿宋" w:hAnsi="仿宋" w:eastAsia="仿宋"/>
          <w:sz w:val="32"/>
          <w:szCs w:val="32"/>
        </w:rPr>
        <w:t>租赁费</w:t>
      </w:r>
      <w:r>
        <w:rPr>
          <w:rFonts w:hint="eastAsia" w:ascii="仿宋" w:hAnsi="仿宋" w:eastAsia="仿宋"/>
          <w:sz w:val="32"/>
          <w:szCs w:val="32"/>
        </w:rPr>
        <w:t>0.30万元、</w:t>
      </w:r>
      <w:r>
        <w:rPr>
          <w:rFonts w:ascii="仿宋" w:hAnsi="仿宋" w:eastAsia="仿宋"/>
          <w:sz w:val="32"/>
          <w:szCs w:val="32"/>
        </w:rPr>
        <w:t>会议费</w:t>
      </w:r>
      <w:r>
        <w:rPr>
          <w:rFonts w:hint="eastAsia" w:ascii="仿宋" w:hAnsi="仿宋" w:eastAsia="仿宋"/>
          <w:sz w:val="32"/>
          <w:szCs w:val="32"/>
        </w:rPr>
        <w:t>3.50万元、</w:t>
      </w:r>
      <w:r>
        <w:rPr>
          <w:rFonts w:ascii="仿宋" w:hAnsi="仿宋" w:eastAsia="仿宋"/>
          <w:sz w:val="32"/>
          <w:szCs w:val="32"/>
        </w:rPr>
        <w:t>公务接待费</w:t>
      </w:r>
      <w:r>
        <w:rPr>
          <w:rFonts w:hint="eastAsia" w:ascii="仿宋" w:hAnsi="仿宋" w:eastAsia="仿宋"/>
          <w:sz w:val="32"/>
          <w:szCs w:val="32"/>
        </w:rPr>
        <w:t>3.00万元、</w:t>
      </w:r>
      <w:r>
        <w:rPr>
          <w:rFonts w:ascii="仿宋" w:hAnsi="仿宋" w:eastAsia="仿宋"/>
          <w:sz w:val="32"/>
          <w:szCs w:val="32"/>
        </w:rPr>
        <w:t>劳务费</w:t>
      </w:r>
      <w:r>
        <w:rPr>
          <w:rFonts w:hint="eastAsia" w:ascii="仿宋" w:hAnsi="仿宋" w:eastAsia="仿宋"/>
          <w:sz w:val="32"/>
          <w:szCs w:val="32"/>
        </w:rPr>
        <w:t>1.50万元、委托业务费5.00万元、</w:t>
      </w:r>
      <w:r>
        <w:rPr>
          <w:rFonts w:ascii="仿宋" w:hAnsi="仿宋" w:eastAsia="仿宋"/>
          <w:sz w:val="32"/>
          <w:szCs w:val="32"/>
        </w:rPr>
        <w:t>公务用车运行维护费</w:t>
      </w:r>
      <w:r>
        <w:rPr>
          <w:rFonts w:hint="eastAsia" w:ascii="仿宋" w:hAnsi="仿宋" w:eastAsia="仿宋"/>
          <w:sz w:val="32"/>
          <w:szCs w:val="32"/>
        </w:rPr>
        <w:t>29.50万元、</w:t>
      </w:r>
      <w:r>
        <w:rPr>
          <w:rFonts w:ascii="仿宋" w:hAnsi="仿宋" w:eastAsia="仿宋"/>
          <w:sz w:val="32"/>
          <w:szCs w:val="32"/>
        </w:rPr>
        <w:t>其他商品和服务支出</w:t>
      </w:r>
      <w:r>
        <w:rPr>
          <w:rFonts w:hint="eastAsia" w:ascii="仿宋" w:hAnsi="仿宋" w:eastAsia="仿宋"/>
          <w:sz w:val="32"/>
          <w:szCs w:val="32"/>
        </w:rPr>
        <w:t>106.22万元、</w:t>
      </w:r>
      <w:r>
        <w:rPr>
          <w:rFonts w:ascii="仿宋" w:hAnsi="仿宋" w:eastAsia="仿宋"/>
          <w:sz w:val="32"/>
          <w:szCs w:val="32"/>
        </w:rPr>
        <w:t>工会经费</w:t>
      </w:r>
      <w:r>
        <w:rPr>
          <w:rFonts w:hint="eastAsia" w:ascii="仿宋" w:hAnsi="仿宋" w:eastAsia="仿宋"/>
          <w:sz w:val="32"/>
          <w:szCs w:val="32"/>
        </w:rPr>
        <w:t>25.55万元。</w:t>
      </w:r>
    </w:p>
    <w:p>
      <w:pPr>
        <w:ind w:firstLine="640" w:firstLineChars="200"/>
        <w:rPr>
          <w:rFonts w:ascii="黑体" w:hAnsi="黑体" w:eastAsia="黑体"/>
          <w:b w:val="0"/>
          <w:bCs w:val="0"/>
          <w:sz w:val="32"/>
          <w:szCs w:val="32"/>
        </w:rPr>
      </w:pPr>
      <w:r>
        <w:rPr>
          <w:rFonts w:hint="eastAsia" w:ascii="黑体" w:hAnsi="黑体" w:eastAsia="黑体"/>
          <w:b w:val="0"/>
          <w:bCs w:val="0"/>
          <w:sz w:val="32"/>
          <w:szCs w:val="32"/>
        </w:rPr>
        <w:t>七、一般公共预算“三公”经费预算总体情况</w:t>
      </w:r>
    </w:p>
    <w:p>
      <w:pPr>
        <w:ind w:firstLine="640" w:firstLineChars="200"/>
        <w:rPr>
          <w:rFonts w:hint="eastAsia" w:ascii="仿宋" w:hAnsi="仿宋" w:eastAsia="仿宋"/>
          <w:b w:val="0"/>
          <w:bCs w:val="0"/>
          <w:color w:val="auto"/>
          <w:sz w:val="32"/>
          <w:szCs w:val="32"/>
          <w:lang w:eastAsia="zh-CN"/>
        </w:rPr>
      </w:pPr>
      <w:r>
        <w:rPr>
          <w:rFonts w:hint="eastAsia" w:ascii="仿宋" w:hAnsi="仿宋" w:eastAsia="仿宋"/>
          <w:b w:val="0"/>
          <w:bCs w:val="0"/>
          <w:sz w:val="32"/>
          <w:szCs w:val="32"/>
        </w:rPr>
        <w:t>“三公”经费预算数为119.95万元，其中：因公出国（境）费10.11万元，公务用车购置及运行费67.62万元，公务接待费42.22万元。</w:t>
      </w:r>
      <w:r>
        <w:rPr>
          <w:rFonts w:hint="eastAsia" w:ascii="仿宋" w:hAnsi="仿宋" w:eastAsia="仿宋"/>
          <w:b w:val="0"/>
          <w:bCs w:val="0"/>
          <w:color w:val="auto"/>
          <w:sz w:val="32"/>
          <w:szCs w:val="32"/>
        </w:rPr>
        <w:t>“三公”经费年初预算比2023年增加</w:t>
      </w:r>
      <w:r>
        <w:rPr>
          <w:rFonts w:hint="eastAsia" w:ascii="仿宋" w:hAnsi="仿宋" w:eastAsia="仿宋"/>
          <w:b w:val="0"/>
          <w:bCs w:val="0"/>
          <w:color w:val="auto"/>
          <w:sz w:val="32"/>
          <w:szCs w:val="32"/>
          <w:lang w:val="en-US" w:eastAsia="zh-CN"/>
        </w:rPr>
        <w:t>0.40</w:t>
      </w:r>
      <w:r>
        <w:rPr>
          <w:rFonts w:hint="eastAsia" w:ascii="仿宋" w:hAnsi="仿宋" w:eastAsia="仿宋"/>
          <w:b w:val="0"/>
          <w:bCs w:val="0"/>
          <w:color w:val="auto"/>
          <w:sz w:val="32"/>
          <w:szCs w:val="32"/>
        </w:rPr>
        <w:t>万元，增长</w:t>
      </w:r>
      <w:r>
        <w:rPr>
          <w:rFonts w:hint="eastAsia" w:ascii="仿宋" w:hAnsi="仿宋" w:eastAsia="仿宋"/>
          <w:b w:val="0"/>
          <w:bCs w:val="0"/>
          <w:color w:val="auto"/>
          <w:sz w:val="32"/>
          <w:szCs w:val="32"/>
          <w:lang w:val="en-US" w:eastAsia="zh-CN"/>
        </w:rPr>
        <w:t>0.33</w:t>
      </w:r>
      <w:r>
        <w:rPr>
          <w:rFonts w:hint="eastAsia" w:ascii="仿宋" w:hAnsi="仿宋" w:eastAsia="仿宋"/>
          <w:b w:val="0"/>
          <w:bCs w:val="0"/>
          <w:color w:val="auto"/>
          <w:sz w:val="32"/>
          <w:szCs w:val="32"/>
        </w:rPr>
        <w:t>%</w:t>
      </w:r>
      <w:r>
        <w:rPr>
          <w:rFonts w:hint="eastAsia" w:ascii="仿宋" w:hAnsi="仿宋" w:eastAsia="仿宋"/>
          <w:b w:val="0"/>
          <w:bCs w:val="0"/>
          <w:color w:val="auto"/>
          <w:sz w:val="32"/>
          <w:szCs w:val="32"/>
          <w:lang w:eastAsia="zh-CN"/>
        </w:rPr>
        <w:t>。</w:t>
      </w:r>
      <w:r>
        <w:rPr>
          <w:rFonts w:hint="eastAsia" w:ascii="仿宋" w:hAnsi="仿宋" w:eastAsia="仿宋"/>
          <w:b w:val="0"/>
          <w:bCs w:val="0"/>
          <w:color w:val="auto"/>
          <w:sz w:val="32"/>
          <w:szCs w:val="32"/>
          <w:lang w:val="en-US" w:eastAsia="zh-CN"/>
        </w:rPr>
        <w:t>主要原因</w:t>
      </w:r>
      <w:r>
        <w:rPr>
          <w:rFonts w:hint="eastAsia" w:ascii="仿宋" w:hAnsi="仿宋" w:eastAsia="仿宋"/>
          <w:b w:val="0"/>
          <w:bCs w:val="0"/>
          <w:color w:val="auto"/>
          <w:sz w:val="32"/>
          <w:szCs w:val="32"/>
        </w:rPr>
        <w:t>202</w:t>
      </w:r>
      <w:r>
        <w:rPr>
          <w:rFonts w:hint="eastAsia" w:ascii="仿宋" w:hAnsi="仿宋" w:eastAsia="仿宋"/>
          <w:b w:val="0"/>
          <w:bCs w:val="0"/>
          <w:color w:val="auto"/>
          <w:sz w:val="32"/>
          <w:szCs w:val="32"/>
          <w:lang w:val="en-US" w:eastAsia="zh-CN"/>
        </w:rPr>
        <w:t>4</w:t>
      </w:r>
      <w:r>
        <w:rPr>
          <w:rFonts w:hint="eastAsia" w:ascii="仿宋" w:hAnsi="仿宋" w:eastAsia="仿宋"/>
          <w:b w:val="0"/>
          <w:bCs w:val="0"/>
          <w:color w:val="auto"/>
          <w:sz w:val="32"/>
          <w:szCs w:val="32"/>
        </w:rPr>
        <w:t>年根据部门工作</w:t>
      </w:r>
      <w:r>
        <w:rPr>
          <w:rFonts w:hint="eastAsia" w:ascii="仿宋" w:hAnsi="仿宋" w:eastAsia="仿宋"/>
          <w:b w:val="0"/>
          <w:bCs w:val="0"/>
          <w:color w:val="auto"/>
          <w:sz w:val="32"/>
          <w:szCs w:val="32"/>
          <w:lang w:val="en-US" w:eastAsia="zh-CN"/>
        </w:rPr>
        <w:t>职责</w:t>
      </w:r>
      <w:r>
        <w:rPr>
          <w:rFonts w:hint="eastAsia" w:ascii="仿宋" w:hAnsi="仿宋" w:eastAsia="仿宋"/>
          <w:b w:val="0"/>
          <w:bCs w:val="0"/>
          <w:color w:val="auto"/>
          <w:sz w:val="32"/>
          <w:szCs w:val="32"/>
        </w:rPr>
        <w:t>及参照历年预算，申请优秀青年代表团出访香港、尼泊尔交流及来访交流经费预算</w:t>
      </w:r>
      <w:r>
        <w:rPr>
          <w:rFonts w:hint="eastAsia" w:ascii="仿宋" w:hAnsi="仿宋" w:eastAsia="仿宋"/>
          <w:b w:val="0"/>
          <w:bCs w:val="0"/>
          <w:color w:val="auto"/>
          <w:sz w:val="32"/>
          <w:szCs w:val="32"/>
          <w:lang w:val="en-US" w:eastAsia="zh-CN"/>
        </w:rPr>
        <w:t>故相关经费预算有所增加</w:t>
      </w:r>
      <w:r>
        <w:rPr>
          <w:rFonts w:hint="eastAsia" w:ascii="仿宋" w:hAnsi="仿宋" w:eastAsia="仿宋"/>
          <w:b w:val="0"/>
          <w:bCs w:val="0"/>
          <w:color w:val="auto"/>
          <w:sz w:val="32"/>
          <w:szCs w:val="32"/>
          <w:lang w:eastAsia="zh-CN"/>
        </w:rPr>
        <w:t>。</w:t>
      </w:r>
    </w:p>
    <w:p>
      <w:pPr>
        <w:ind w:firstLine="640" w:firstLineChars="200"/>
        <w:rPr>
          <w:rFonts w:hint="eastAsia" w:ascii="仿宋" w:hAnsi="仿宋" w:eastAsia="仿宋"/>
          <w:b/>
          <w:bCs/>
          <w:color w:val="FF0000"/>
          <w:sz w:val="32"/>
          <w:szCs w:val="32"/>
        </w:rPr>
      </w:pPr>
      <w:r>
        <w:rPr>
          <w:rFonts w:hint="eastAsia" w:ascii="仿宋" w:hAnsi="仿宋" w:eastAsia="仿宋"/>
          <w:b w:val="0"/>
          <w:bCs w:val="0"/>
          <w:sz w:val="32"/>
          <w:szCs w:val="32"/>
        </w:rPr>
        <w:t>因公出国（境）</w:t>
      </w:r>
      <w:r>
        <w:rPr>
          <w:rFonts w:hint="eastAsia" w:ascii="仿宋" w:hAnsi="仿宋" w:eastAsia="仿宋"/>
          <w:b w:val="0"/>
          <w:bCs w:val="0"/>
          <w:sz w:val="32"/>
          <w:szCs w:val="32"/>
          <w:lang w:val="en-US" w:eastAsia="zh-CN"/>
        </w:rPr>
        <w:t>3</w:t>
      </w:r>
      <w:r>
        <w:rPr>
          <w:rFonts w:hint="eastAsia" w:ascii="仿宋" w:hAnsi="仿宋" w:eastAsia="仿宋"/>
          <w:b w:val="0"/>
          <w:bCs w:val="0"/>
          <w:sz w:val="32"/>
          <w:szCs w:val="32"/>
        </w:rPr>
        <w:t>团组、</w:t>
      </w:r>
      <w:r>
        <w:rPr>
          <w:rFonts w:hint="eastAsia" w:ascii="仿宋" w:hAnsi="仿宋" w:eastAsia="仿宋"/>
          <w:b w:val="0"/>
          <w:bCs w:val="0"/>
          <w:sz w:val="32"/>
          <w:szCs w:val="32"/>
          <w:lang w:val="en-US" w:eastAsia="zh-CN"/>
        </w:rPr>
        <w:t>66</w:t>
      </w:r>
      <w:r>
        <w:rPr>
          <w:rFonts w:hint="eastAsia" w:ascii="仿宋" w:hAnsi="仿宋" w:eastAsia="仿宋"/>
          <w:b w:val="0"/>
          <w:bCs w:val="0"/>
          <w:color w:val="auto"/>
          <w:sz w:val="32"/>
          <w:szCs w:val="32"/>
        </w:rPr>
        <w:t>人，公务用车购置0辆、保有12量，国内公务接待26批次、260人（2024年预计）。</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2024年度政府性基金预算安排263万元,主要用于民族团结交流活动相关支出。</w:t>
      </w:r>
    </w:p>
    <w:p>
      <w:pPr>
        <w:numPr>
          <w:ilvl w:val="0"/>
          <w:numId w:val="2"/>
        </w:numPr>
        <w:ind w:firstLine="640" w:firstLineChars="200"/>
        <w:rPr>
          <w:rFonts w:ascii="黑体" w:hAnsi="黑体" w:eastAsia="黑体"/>
          <w:sz w:val="32"/>
          <w:szCs w:val="32"/>
        </w:rPr>
      </w:pPr>
      <w:r>
        <w:rPr>
          <w:rFonts w:hint="eastAsia" w:ascii="黑体" w:hAnsi="黑体" w:eastAsia="黑体"/>
          <w:sz w:val="32"/>
          <w:szCs w:val="32"/>
        </w:rPr>
        <w:t>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黑体" w:hAnsi="黑体" w:eastAsia="黑体"/>
          <w:sz w:val="32"/>
          <w:szCs w:val="32"/>
        </w:rPr>
      </w:pPr>
      <w:r>
        <w:rPr>
          <w:rFonts w:hint="eastAsia" w:ascii="仿宋" w:hAnsi="仿宋" w:eastAsia="仿宋"/>
          <w:sz w:val="32"/>
          <w:szCs w:val="32"/>
        </w:rPr>
        <w:t>2024年度没有政府性基金安排的“三公”经费支出。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_GB2312" w:eastAsia="仿宋_GB2312" w:cs="仿宋_GB2312" w:hAnsiTheme="minorHAnsi"/>
          <w:kern w:val="0"/>
          <w:sz w:val="32"/>
          <w:szCs w:val="32"/>
        </w:rPr>
      </w:pPr>
      <w:r>
        <w:rPr>
          <w:rFonts w:ascii="仿宋" w:hAnsi="仿宋" w:eastAsia="仿宋"/>
          <w:sz w:val="32"/>
          <w:szCs w:val="32"/>
        </w:rPr>
        <w:t>202</w:t>
      </w:r>
      <w:r>
        <w:rPr>
          <w:rFonts w:hint="eastAsia" w:ascii="仿宋" w:hAnsi="仿宋" w:eastAsia="仿宋"/>
          <w:sz w:val="32"/>
          <w:szCs w:val="32"/>
        </w:rPr>
        <w:t>4年团区委（本级）包含：团区委机关、西藏青少年发展基金会（参公管理事业单位）、机关后勤服务中心（机关事业编制），机关运行经费财政拨款预算268.29万元，比</w:t>
      </w:r>
      <w:r>
        <w:rPr>
          <w:rFonts w:ascii="仿宋" w:hAnsi="仿宋" w:eastAsia="仿宋"/>
          <w:sz w:val="32"/>
          <w:szCs w:val="32"/>
        </w:rPr>
        <w:t>202</w:t>
      </w:r>
      <w:r>
        <w:rPr>
          <w:rFonts w:hint="eastAsia" w:ascii="仿宋" w:hAnsi="仿宋" w:eastAsia="仿宋"/>
          <w:sz w:val="32"/>
          <w:szCs w:val="32"/>
        </w:rPr>
        <w:t>3年预算增加41.28万元，增长18.18</w:t>
      </w:r>
      <w:r>
        <w:rPr>
          <w:rFonts w:ascii="仿宋" w:hAnsi="仿宋" w:eastAsia="仿宋"/>
          <w:sz w:val="32"/>
          <w:szCs w:val="32"/>
        </w:rPr>
        <w:t>%</w:t>
      </w:r>
      <w:r>
        <w:rPr>
          <w:rFonts w:hint="eastAsia" w:ascii="仿宋" w:hAnsi="仿宋" w:eastAsia="仿宋"/>
          <w:sz w:val="32"/>
          <w:szCs w:val="32"/>
        </w:rPr>
        <w:t>。主要是今年预算中自治区统一提标参数故相关预算有所增加</w:t>
      </w:r>
      <w:r>
        <w:rPr>
          <w:rFonts w:hint="eastAsia" w:ascii="仿宋_GB2312" w:eastAsia="仿宋_GB2312" w:cs="仿宋_GB2312" w:hAnsiTheme="minorHAnsi"/>
          <w:kern w:val="0"/>
          <w:sz w:val="32"/>
          <w:szCs w:val="32"/>
        </w:rPr>
        <w:t>。</w:t>
      </w:r>
    </w:p>
    <w:p>
      <w:pPr>
        <w:numPr>
          <w:ilvl w:val="0"/>
          <w:numId w:val="3"/>
        </w:numPr>
        <w:autoSpaceDE w:val="0"/>
        <w:autoSpaceDN w:val="0"/>
        <w:adjustRightInd w:val="0"/>
        <w:ind w:firstLine="640" w:firstLineChars="200"/>
        <w:rPr>
          <w:rFonts w:ascii="仿宋_GB2312" w:eastAsia="仿宋_GB2312" w:cs="仿宋_GB2312" w:hAnsiTheme="minorHAnsi"/>
          <w:kern w:val="0"/>
          <w:sz w:val="32"/>
          <w:szCs w:val="32"/>
        </w:rPr>
      </w:pPr>
      <w:r>
        <w:rPr>
          <w:rFonts w:hint="eastAsia" w:ascii="仿宋_GB2312" w:eastAsia="仿宋_GB2312" w:cs="仿宋_GB2312" w:hAnsiTheme="minorHAnsi"/>
          <w:kern w:val="0"/>
          <w:sz w:val="32"/>
          <w:szCs w:val="32"/>
        </w:rPr>
        <w:t>政府采购情况说明。</w:t>
      </w:r>
    </w:p>
    <w:p>
      <w:pPr>
        <w:autoSpaceDE w:val="0"/>
        <w:autoSpaceDN w:val="0"/>
        <w:adjustRightInd w:val="0"/>
        <w:ind w:firstLine="640" w:firstLineChars="200"/>
        <w:rPr>
          <w:rFonts w:ascii="仿宋_GB2312" w:eastAsia="仿宋_GB2312" w:cs="仿宋_GB2312" w:hAnsiTheme="minorHAnsi"/>
          <w:kern w:val="0"/>
          <w:sz w:val="32"/>
          <w:szCs w:val="32"/>
        </w:rPr>
      </w:pPr>
      <w:r>
        <w:rPr>
          <w:rFonts w:hint="eastAsia" w:ascii="仿宋_GB2312" w:eastAsia="仿宋_GB2312" w:cs="仿宋_GB2312" w:hAnsiTheme="minorHAnsi"/>
          <w:kern w:val="0"/>
          <w:sz w:val="32"/>
          <w:szCs w:val="32"/>
        </w:rPr>
        <w:t>2024年本部门政府采购预算总额566.71万元，其中：政府采购货物预算20.96万元、政府采购工程预算0万元、政府采购服务预算545.75万元。</w:t>
      </w:r>
    </w:p>
    <w:p>
      <w:pPr>
        <w:numPr>
          <w:ilvl w:val="0"/>
          <w:numId w:val="4"/>
        </w:numPr>
        <w:autoSpaceDE w:val="0"/>
        <w:autoSpaceDN w:val="0"/>
        <w:adjustRightInd w:val="0"/>
        <w:ind w:firstLine="640" w:firstLineChars="200"/>
        <w:jc w:val="left"/>
        <w:rPr>
          <w:rFonts w:ascii="仿宋" w:hAnsi="仿宋" w:eastAsia="仿宋"/>
          <w:sz w:val="32"/>
          <w:szCs w:val="32"/>
        </w:rPr>
      </w:pPr>
      <w:r>
        <w:rPr>
          <w:rFonts w:hint="eastAsia" w:ascii="仿宋" w:hAnsi="仿宋" w:eastAsia="仿宋"/>
          <w:sz w:val="32"/>
          <w:szCs w:val="32"/>
        </w:rPr>
        <w:t>政府购买服务情况说明。</w:t>
      </w:r>
    </w:p>
    <w:p>
      <w:pPr>
        <w:autoSpaceDE w:val="0"/>
        <w:autoSpaceDN w:val="0"/>
        <w:adjustRightInd w:val="0"/>
        <w:ind w:firstLine="640" w:firstLineChars="200"/>
        <w:jc w:val="left"/>
        <w:rPr>
          <w:rFonts w:ascii="仿宋" w:hAnsi="仿宋" w:eastAsia="仿宋"/>
          <w:b w:val="0"/>
          <w:bCs/>
          <w:color w:val="FF0000"/>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年政府购买服务预算数954.50万元，其中：</w:t>
      </w:r>
      <w:r>
        <w:rPr>
          <w:rFonts w:hint="eastAsia" w:ascii="仿宋" w:hAnsi="仿宋" w:eastAsia="仿宋"/>
          <w:b w:val="0"/>
          <w:bCs/>
          <w:sz w:val="32"/>
          <w:szCs w:val="32"/>
        </w:rPr>
        <w:t>共青团工作业务经费政府购买服务预算250.67万元</w:t>
      </w:r>
      <w:r>
        <w:rPr>
          <w:rFonts w:hint="eastAsia" w:ascii="仿宋" w:hAnsi="仿宋" w:eastAsia="仿宋" w:cs="仿宋"/>
          <w:b w:val="0"/>
          <w:bCs/>
          <w:sz w:val="32"/>
          <w:szCs w:val="32"/>
        </w:rPr>
        <w:t>，主要购买服务事项为</w:t>
      </w:r>
      <w:r>
        <w:rPr>
          <w:rFonts w:hint="eastAsia" w:ascii="仿宋" w:hAnsi="仿宋" w:eastAsia="仿宋" w:cs="仿宋"/>
          <w:b w:val="0"/>
          <w:bCs/>
          <w:kern w:val="0"/>
          <w:sz w:val="32"/>
          <w:szCs w:val="32"/>
        </w:rPr>
        <w:t>青年对外交流活动、青年婚恋交友活动、政府组织的就业创业指导和培训服务、团干部培训、宣传视频制作等；法律顾问法律服务费5万元;机关运行维护费42.78万元</w:t>
      </w:r>
      <w:r>
        <w:rPr>
          <w:rFonts w:hint="eastAsia" w:ascii="仿宋" w:hAnsi="仿宋" w:eastAsia="仿宋" w:cs="仿宋"/>
          <w:b w:val="0"/>
          <w:bCs/>
          <w:sz w:val="32"/>
          <w:szCs w:val="32"/>
        </w:rPr>
        <w:t>;农牧民技能培训费226.60万元;西藏共青团助力创建全国民族团结进步模范区</w:t>
      </w:r>
      <w:r>
        <w:rPr>
          <w:rFonts w:hint="eastAsia" w:ascii="仿宋" w:hAnsi="仿宋" w:eastAsia="仿宋" w:cs="仿宋"/>
          <w:b w:val="0"/>
          <w:bCs/>
          <w:sz w:val="32"/>
          <w:szCs w:val="32"/>
          <w:lang w:val="en-US" w:eastAsia="zh-CN"/>
        </w:rPr>
        <w:t>挂牌</w:t>
      </w:r>
      <w:r>
        <w:rPr>
          <w:rFonts w:hint="eastAsia" w:ascii="仿宋" w:hAnsi="仿宋" w:eastAsia="仿宋" w:cs="仿宋"/>
          <w:b w:val="0"/>
          <w:bCs/>
          <w:sz w:val="32"/>
          <w:szCs w:val="32"/>
        </w:rPr>
        <w:t>117.04万元;全区青少年铸牢中华民族共同体意识主题演讲大赛全区总决赛</w:t>
      </w:r>
      <w:r>
        <w:rPr>
          <w:rFonts w:hint="eastAsia" w:ascii="仿宋" w:hAnsi="仿宋" w:eastAsia="仿宋" w:cs="仿宋"/>
          <w:b w:val="0"/>
          <w:bCs/>
          <w:sz w:val="32"/>
          <w:szCs w:val="32"/>
          <w:lang w:val="en-US" w:eastAsia="zh-CN"/>
        </w:rPr>
        <w:t>相关视屏宣传等</w:t>
      </w:r>
      <w:r>
        <w:rPr>
          <w:rFonts w:hint="eastAsia" w:ascii="仿宋" w:hAnsi="仿宋" w:eastAsia="仿宋" w:cs="仿宋"/>
          <w:b w:val="0"/>
          <w:bCs/>
          <w:sz w:val="32"/>
          <w:szCs w:val="32"/>
        </w:rPr>
        <w:t>8.50万元;大学生志愿服务西部计划西藏专项志愿者工作经费</w:t>
      </w:r>
      <w:r>
        <w:rPr>
          <w:rFonts w:hint="eastAsia" w:ascii="仿宋" w:hAnsi="仿宋" w:eastAsia="仿宋"/>
          <w:b w:val="0"/>
          <w:bCs/>
          <w:sz w:val="32"/>
          <w:szCs w:val="32"/>
        </w:rPr>
        <w:t>政府购买服务</w:t>
      </w:r>
      <w:r>
        <w:rPr>
          <w:rFonts w:hint="eastAsia" w:ascii="仿宋" w:hAnsi="仿宋" w:eastAsia="仿宋" w:cs="仿宋"/>
          <w:b w:val="0"/>
          <w:bCs/>
          <w:sz w:val="32"/>
          <w:szCs w:val="32"/>
        </w:rPr>
        <w:t>预算296.41万元，主要购买服务事项为</w:t>
      </w:r>
      <w:r>
        <w:rPr>
          <w:rFonts w:hint="eastAsia" w:ascii="仿宋" w:hAnsi="仿宋" w:eastAsia="仿宋" w:cs="仿宋"/>
          <w:b w:val="0"/>
          <w:bCs/>
          <w:kern w:val="0"/>
          <w:sz w:val="32"/>
          <w:szCs w:val="32"/>
        </w:rPr>
        <w:t>政府委托的其他社会保险服务、志愿者岗前培训等；</w:t>
      </w:r>
      <w:r>
        <w:rPr>
          <w:rFonts w:hint="eastAsia" w:ascii="仿宋" w:hAnsi="仿宋" w:eastAsia="仿宋" w:cs="仿宋"/>
          <w:b w:val="0"/>
          <w:bCs/>
          <w:sz w:val="32"/>
          <w:szCs w:val="32"/>
        </w:rPr>
        <w:t>车辆保险</w:t>
      </w:r>
      <w:r>
        <w:rPr>
          <w:rFonts w:hint="eastAsia" w:ascii="仿宋" w:hAnsi="仿宋" w:eastAsia="仿宋"/>
          <w:b w:val="0"/>
          <w:bCs/>
          <w:sz w:val="32"/>
          <w:szCs w:val="32"/>
        </w:rPr>
        <w:t>政府购买服务预算数</w:t>
      </w:r>
      <w:r>
        <w:rPr>
          <w:rFonts w:hint="eastAsia" w:ascii="仿宋" w:hAnsi="仿宋" w:eastAsia="仿宋" w:cs="仿宋"/>
          <w:b w:val="0"/>
          <w:bCs/>
          <w:sz w:val="32"/>
          <w:szCs w:val="32"/>
        </w:rPr>
        <w:t>4.50万元，干部人事档案数字化项目</w:t>
      </w:r>
      <w:r>
        <w:rPr>
          <w:rFonts w:hint="eastAsia" w:ascii="仿宋" w:hAnsi="仿宋" w:eastAsia="仿宋"/>
          <w:b w:val="0"/>
          <w:bCs/>
          <w:sz w:val="32"/>
          <w:szCs w:val="32"/>
        </w:rPr>
        <w:t>政府购买服务</w:t>
      </w:r>
      <w:r>
        <w:rPr>
          <w:rFonts w:hint="eastAsia" w:ascii="仿宋" w:hAnsi="仿宋" w:eastAsia="仿宋" w:cs="仿宋"/>
          <w:b w:val="0"/>
          <w:bCs/>
          <w:sz w:val="32"/>
          <w:szCs w:val="32"/>
        </w:rPr>
        <w:t>预算3.00万元</w:t>
      </w:r>
      <w:r>
        <w:rPr>
          <w:rFonts w:hint="eastAsia" w:ascii="楷体" w:hAnsi="楷体" w:eastAsia="楷体"/>
          <w:b w:val="0"/>
          <w:bCs/>
          <w:sz w:val="32"/>
          <w:szCs w:val="32"/>
        </w:rPr>
        <w:t>。</w:t>
      </w:r>
    </w:p>
    <w:p>
      <w:pPr>
        <w:ind w:firstLine="640" w:firstLineChars="200"/>
        <w:rPr>
          <w:rFonts w:ascii="楷体" w:hAnsi="楷体" w:eastAsia="楷体"/>
          <w:sz w:val="32"/>
          <w:szCs w:val="32"/>
        </w:rPr>
      </w:pPr>
      <w:r>
        <w:rPr>
          <w:rFonts w:hint="eastAsia" w:ascii="楷体" w:hAnsi="楷体" w:eastAsia="楷体"/>
          <w:sz w:val="32"/>
          <w:szCs w:val="32"/>
        </w:rPr>
        <w:t>（四）国有资产占有使用情况说明。</w:t>
      </w:r>
    </w:p>
    <w:p>
      <w:pPr>
        <w:spacing w:line="560" w:lineRule="exact"/>
        <w:ind w:firstLine="640" w:firstLineChars="200"/>
        <w:rPr>
          <w:rFonts w:ascii="楷体" w:hAnsi="楷体" w:eastAsia="楷体"/>
          <w:color w:val="auto"/>
          <w:sz w:val="32"/>
          <w:szCs w:val="32"/>
        </w:rPr>
      </w:pPr>
      <w:r>
        <w:rPr>
          <w:rFonts w:hint="eastAsia" w:ascii="仿宋" w:hAnsi="仿宋" w:eastAsia="仿宋"/>
          <w:color w:val="auto"/>
          <w:sz w:val="32"/>
          <w:szCs w:val="32"/>
        </w:rPr>
        <w:t>截至</w:t>
      </w:r>
      <w:r>
        <w:rPr>
          <w:rFonts w:ascii="仿宋" w:hAnsi="仿宋" w:eastAsia="仿宋"/>
          <w:color w:val="auto"/>
          <w:sz w:val="32"/>
          <w:szCs w:val="32"/>
        </w:rPr>
        <w:t>202</w:t>
      </w:r>
      <w:r>
        <w:rPr>
          <w:rFonts w:hint="eastAsia" w:ascii="仿宋" w:hAnsi="仿宋" w:eastAsia="仿宋"/>
          <w:color w:val="auto"/>
          <w:sz w:val="32"/>
          <w:szCs w:val="32"/>
        </w:rPr>
        <w:t>4年1月底，团区委机关本级共有车辆12辆，其中，地厅级领导干部用车（含在职和离退休部级干部用车）1辆、机要通信用车1辆、其他用车10辆，其他用车主要是用于各部门工作需要市内公务用车、下乡、调研公务用车、驻村点公务用车。无单位价值</w:t>
      </w:r>
      <w:r>
        <w:rPr>
          <w:rFonts w:ascii="仿宋" w:hAnsi="仿宋" w:eastAsia="仿宋"/>
          <w:color w:val="auto"/>
          <w:sz w:val="32"/>
          <w:szCs w:val="32"/>
        </w:rPr>
        <w:t>50</w:t>
      </w:r>
      <w:r>
        <w:rPr>
          <w:rFonts w:hint="eastAsia" w:ascii="仿宋" w:hAnsi="仿宋" w:eastAsia="仿宋"/>
          <w:color w:val="auto"/>
          <w:sz w:val="32"/>
          <w:szCs w:val="32"/>
        </w:rPr>
        <w:t>万元以上通用设备，无单位价值</w:t>
      </w:r>
      <w:r>
        <w:rPr>
          <w:rFonts w:ascii="仿宋" w:hAnsi="仿宋" w:eastAsia="仿宋"/>
          <w:color w:val="auto"/>
          <w:sz w:val="32"/>
          <w:szCs w:val="32"/>
        </w:rPr>
        <w:t>100</w:t>
      </w:r>
      <w:r>
        <w:rPr>
          <w:rFonts w:hint="eastAsia" w:ascii="仿宋" w:hAnsi="仿宋" w:eastAsia="仿宋"/>
          <w:color w:val="auto"/>
          <w:sz w:val="32"/>
          <w:szCs w:val="32"/>
        </w:rPr>
        <w:t>万元以上专用设备。</w:t>
      </w:r>
      <w:r>
        <w:rPr>
          <w:rFonts w:hint="eastAsia" w:ascii="仿宋" w:hAnsi="仿宋" w:eastAsia="仿宋" w:cs="宋体"/>
          <w:color w:val="auto"/>
          <w:sz w:val="32"/>
          <w:szCs w:val="32"/>
        </w:rPr>
        <w:t>2024年年初无车辆购置预算。</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（五）2024年预算绩效情况说明。</w:t>
      </w:r>
    </w:p>
    <w:p>
      <w:pPr>
        <w:spacing w:line="588" w:lineRule="exact"/>
        <w:ind w:firstLine="640" w:firstLineChars="200"/>
        <w:rPr>
          <w:rFonts w:ascii="仿宋" w:hAnsi="仿宋" w:eastAsia="仿宋"/>
          <w:color w:val="FF0000"/>
          <w:sz w:val="32"/>
          <w:szCs w:val="32"/>
        </w:rPr>
      </w:pPr>
      <w:r>
        <w:rPr>
          <w:rFonts w:hint="eastAsia" w:ascii="仿宋" w:hAnsi="仿宋" w:eastAsia="仿宋"/>
          <w:sz w:val="32"/>
          <w:szCs w:val="32"/>
        </w:rPr>
        <w:t>2024年实现财政支出绩效目标管理全覆盖，实行绩效目标管理项目</w:t>
      </w:r>
      <w:r>
        <w:rPr>
          <w:rFonts w:hint="eastAsia" w:ascii="仿宋" w:hAnsi="仿宋" w:eastAsia="仿宋"/>
          <w:sz w:val="32"/>
          <w:szCs w:val="32"/>
          <w:lang w:val="en-US" w:eastAsia="zh-CN"/>
        </w:rPr>
        <w:t>涉及</w:t>
      </w:r>
      <w:r>
        <w:rPr>
          <w:rFonts w:hint="eastAsia" w:ascii="仿宋" w:hAnsi="仿宋" w:eastAsia="仿宋"/>
          <w:sz w:val="32"/>
          <w:szCs w:val="32"/>
        </w:rPr>
        <w:t>15个（整合后的项目），项目资金11734.58万元，其中：一般公共预算资金11471.58万元，政府性基金预算资金263.00万元。</w:t>
      </w:r>
    </w:p>
    <w:p>
      <w:pPr>
        <w:spacing w:line="588" w:lineRule="exact"/>
        <w:ind w:firstLine="645"/>
        <w:rPr>
          <w:rFonts w:ascii="仿宋" w:hAnsi="仿宋" w:eastAsia="仿宋"/>
          <w:color w:val="auto"/>
          <w:sz w:val="32"/>
          <w:szCs w:val="32"/>
        </w:rPr>
      </w:pPr>
      <w:r>
        <w:rPr>
          <w:rFonts w:hint="eastAsia" w:ascii="仿宋" w:hAnsi="仿宋" w:eastAsia="仿宋"/>
          <w:color w:val="auto"/>
          <w:sz w:val="32"/>
          <w:szCs w:val="32"/>
        </w:rPr>
        <w:t>附</w:t>
      </w:r>
      <w:r>
        <w:rPr>
          <w:rFonts w:hint="eastAsia" w:ascii="仿宋" w:hAnsi="仿宋" w:eastAsia="仿宋"/>
          <w:color w:val="auto"/>
          <w:sz w:val="32"/>
          <w:szCs w:val="32"/>
          <w:lang w:eastAsia="zh-CN"/>
        </w:rPr>
        <w:t>：</w:t>
      </w:r>
      <w:bookmarkStart w:id="0" w:name="_GoBack"/>
      <w:bookmarkEnd w:id="0"/>
      <w:r>
        <w:rPr>
          <w:rFonts w:hint="eastAsia" w:ascii="仿宋" w:hAnsi="仿宋" w:eastAsia="仿宋"/>
          <w:color w:val="auto"/>
          <w:sz w:val="32"/>
          <w:szCs w:val="32"/>
        </w:rPr>
        <w:t>项目绩效目标表（详见附件）。</w:t>
      </w:r>
    </w:p>
    <w:p>
      <w:pPr>
        <w:ind w:firstLine="320" w:firstLineChars="100"/>
        <w:rPr>
          <w:rFonts w:ascii="楷体" w:hAnsi="楷体" w:eastAsia="楷体"/>
          <w:sz w:val="32"/>
          <w:szCs w:val="32"/>
        </w:rPr>
      </w:pPr>
      <w:r>
        <w:rPr>
          <w:rFonts w:hint="eastAsia" w:ascii="楷体" w:hAnsi="楷体" w:eastAsia="楷体"/>
          <w:sz w:val="32"/>
          <w:szCs w:val="32"/>
        </w:rPr>
        <w:t>（六）扶贫资金管理使用情况及绩效目标情况说明。</w:t>
      </w:r>
    </w:p>
    <w:p>
      <w:pPr>
        <w:rPr>
          <w:rFonts w:ascii="楷体" w:hAnsi="楷体" w:eastAsia="楷体"/>
          <w:sz w:val="32"/>
          <w:szCs w:val="32"/>
        </w:rPr>
      </w:pPr>
      <w:r>
        <w:rPr>
          <w:rFonts w:hint="eastAsia" w:ascii="楷体" w:hAnsi="楷体" w:eastAsia="楷体"/>
          <w:sz w:val="32"/>
          <w:szCs w:val="32"/>
        </w:rPr>
        <w:t xml:space="preserve">     </w:t>
      </w:r>
      <w:r>
        <w:rPr>
          <w:rFonts w:hint="eastAsia" w:ascii="仿宋" w:hAnsi="仿宋" w:eastAsia="仿宋"/>
          <w:sz w:val="32"/>
          <w:szCs w:val="32"/>
        </w:rPr>
        <w:t>我部门2024年度不涉及</w:t>
      </w:r>
      <w:r>
        <w:rPr>
          <w:rFonts w:hint="eastAsia" w:ascii="楷体" w:hAnsi="楷体" w:eastAsia="楷体"/>
          <w:sz w:val="32"/>
          <w:szCs w:val="32"/>
        </w:rPr>
        <w:t>扶贫资金收支</w:t>
      </w:r>
      <w:r>
        <w:rPr>
          <w:rFonts w:hint="eastAsia" w:ascii="仿宋" w:hAnsi="仿宋" w:eastAsia="仿宋"/>
          <w:sz w:val="32"/>
          <w:szCs w:val="32"/>
        </w:rPr>
        <w:t>。</w:t>
      </w:r>
    </w:p>
    <w:p>
      <w:pPr>
        <w:ind w:firstLine="320" w:firstLineChars="100"/>
        <w:rPr>
          <w:rFonts w:ascii="楷体" w:hAnsi="楷体" w:eastAsia="楷体"/>
          <w:sz w:val="32"/>
          <w:szCs w:val="32"/>
        </w:rPr>
      </w:pPr>
      <w:r>
        <w:rPr>
          <w:rFonts w:hint="eastAsia" w:ascii="楷体" w:hAnsi="楷体" w:eastAsia="楷体"/>
          <w:sz w:val="32"/>
          <w:szCs w:val="32"/>
        </w:rPr>
        <w:t>（七）政府债务情况。</w:t>
      </w:r>
    </w:p>
    <w:p>
      <w:pPr>
        <w:ind w:firstLine="640" w:firstLineChars="200"/>
        <w:rPr>
          <w:rFonts w:ascii="楷体" w:hAnsi="楷体" w:eastAsia="楷体"/>
          <w:sz w:val="32"/>
          <w:szCs w:val="32"/>
        </w:rPr>
      </w:pPr>
      <w:r>
        <w:rPr>
          <w:rFonts w:hint="eastAsia" w:ascii="仿宋" w:hAnsi="仿宋" w:eastAsia="仿宋"/>
          <w:sz w:val="32"/>
          <w:szCs w:val="32"/>
        </w:rPr>
        <w:t>我部门2024年度不涉及政府债务情况。</w:t>
      </w:r>
    </w:p>
    <w:p>
      <w:pPr>
        <w:rPr>
          <w:rFonts w:ascii="仿宋" w:hAnsi="仿宋" w:eastAsia="仿宋"/>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p>
    <w:p>
      <w:pPr>
        <w:rPr>
          <w:rFonts w:hint="eastAsia" w:ascii="黑体" w:hAnsi="黑体" w:eastAsia="黑体"/>
          <w:sz w:val="32"/>
          <w:szCs w:val="32"/>
        </w:rPr>
      </w:pPr>
    </w:p>
    <w:p>
      <w:pPr>
        <w:ind w:firstLine="640" w:firstLineChars="200"/>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tabs>
          <w:tab w:val="left" w:pos="0"/>
        </w:tabs>
        <w:ind w:left="105" w:leftChars="50" w:firstLine="640" w:firstLineChars="200"/>
        <w:textAlignment w:val="center"/>
        <w:rPr>
          <w:rFonts w:ascii="仿宋" w:hAnsi="仿宋" w:eastAsia="仿宋"/>
          <w:color w:val="000000"/>
          <w:kern w:val="0"/>
          <w:sz w:val="32"/>
        </w:rPr>
      </w:pPr>
      <w:r>
        <w:rPr>
          <w:rFonts w:hint="eastAsia" w:ascii="黑体" w:hAnsi="黑体" w:eastAsia="黑体" w:cs="黑体"/>
          <w:color w:val="000000"/>
          <w:kern w:val="0"/>
          <w:sz w:val="32"/>
        </w:rPr>
        <w:t>十一、社会保障和就业：</w:t>
      </w:r>
      <w:r>
        <w:rPr>
          <w:rFonts w:hint="eastAsia" w:ascii="仿宋" w:hAnsi="仿宋" w:eastAsia="仿宋"/>
          <w:color w:val="000000"/>
          <w:kern w:val="0"/>
          <w:sz w:val="32"/>
        </w:rPr>
        <w:t>指政府部门在社会保障和就业方面支出。</w:t>
      </w:r>
    </w:p>
    <w:p>
      <w:pPr>
        <w:spacing w:beforeLines="50" w:afterLines="50"/>
        <w:ind w:firstLine="787" w:firstLineChars="246"/>
        <w:rPr>
          <w:rFonts w:ascii="仿宋" w:hAnsi="仿宋" w:eastAsia="仿宋"/>
          <w:sz w:val="32"/>
          <w:szCs w:val="32"/>
        </w:rPr>
      </w:pPr>
      <w:r>
        <w:rPr>
          <w:rFonts w:hint="eastAsia" w:ascii="黑体" w:hAnsi="黑体" w:eastAsia="黑体" w:cs="黑体"/>
          <w:color w:val="000000"/>
          <w:kern w:val="0"/>
          <w:sz w:val="32"/>
        </w:rPr>
        <w:t>十二、“三公”经费：</w:t>
      </w:r>
      <w:r>
        <w:rPr>
          <w:rFonts w:hint="eastAsia" w:ascii="仿宋" w:hAnsi="仿宋" w:eastAsia="仿宋"/>
          <w:color w:val="000000"/>
          <w:kern w:val="0"/>
          <w:sz w:val="32"/>
        </w:rPr>
        <w:t xml:space="preserve"> 纳入财政预决算管理的“三公经费”，是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安全奖励费用等支出；公务接待费反映单位按规定开支的各类公务接待（含外宾接待）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22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0274B3"/>
    <w:multiLevelType w:val="singleLevel"/>
    <w:tmpl w:val="A70274B3"/>
    <w:lvl w:ilvl="0" w:tentative="0">
      <w:start w:val="2"/>
      <w:numFmt w:val="chineseCounting"/>
      <w:suff w:val="nothing"/>
      <w:lvlText w:val="（%1）"/>
      <w:lvlJc w:val="left"/>
      <w:rPr>
        <w:rFonts w:hint="eastAsia"/>
      </w:rPr>
    </w:lvl>
  </w:abstractNum>
  <w:abstractNum w:abstractNumId="1">
    <w:nsid w:val="DE127979"/>
    <w:multiLevelType w:val="singleLevel"/>
    <w:tmpl w:val="DE127979"/>
    <w:lvl w:ilvl="0" w:tentative="0">
      <w:start w:val="9"/>
      <w:numFmt w:val="chineseCounting"/>
      <w:suff w:val="nothing"/>
      <w:lvlText w:val="%1、"/>
      <w:lvlJc w:val="left"/>
      <w:rPr>
        <w:rFonts w:hint="eastAsia"/>
      </w:rPr>
    </w:lvl>
  </w:abstractNum>
  <w:abstractNum w:abstractNumId="2">
    <w:nsid w:val="3AB45FF4"/>
    <w:multiLevelType w:val="singleLevel"/>
    <w:tmpl w:val="3AB45FF4"/>
    <w:lvl w:ilvl="0" w:tentative="0">
      <w:start w:val="3"/>
      <w:numFmt w:val="chineseCounting"/>
      <w:suff w:val="nothing"/>
      <w:lvlText w:val="（%1）"/>
      <w:lvlJc w:val="left"/>
      <w:rPr>
        <w:rFonts w:hint="eastAsia"/>
      </w:rPr>
    </w:lvl>
  </w:abstractNum>
  <w:abstractNum w:abstractNumId="3">
    <w:nsid w:val="3E20DBA3"/>
    <w:multiLevelType w:val="singleLevel"/>
    <w:tmpl w:val="3E20DBA3"/>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3004"/>
    <w:rsid w:val="00006EF3"/>
    <w:rsid w:val="00015A4C"/>
    <w:rsid w:val="000214DB"/>
    <w:rsid w:val="00023250"/>
    <w:rsid w:val="000336AD"/>
    <w:rsid w:val="00041C59"/>
    <w:rsid w:val="00043A5F"/>
    <w:rsid w:val="00043AA8"/>
    <w:rsid w:val="00086B54"/>
    <w:rsid w:val="00086C47"/>
    <w:rsid w:val="000941A1"/>
    <w:rsid w:val="00096F91"/>
    <w:rsid w:val="000A1AFA"/>
    <w:rsid w:val="000A2246"/>
    <w:rsid w:val="000A6427"/>
    <w:rsid w:val="000A7A82"/>
    <w:rsid w:val="000B07BA"/>
    <w:rsid w:val="000C66CA"/>
    <w:rsid w:val="000D1A92"/>
    <w:rsid w:val="000E0307"/>
    <w:rsid w:val="000E347B"/>
    <w:rsid w:val="000F293F"/>
    <w:rsid w:val="001038F8"/>
    <w:rsid w:val="00105104"/>
    <w:rsid w:val="001054EF"/>
    <w:rsid w:val="001162B6"/>
    <w:rsid w:val="00125B98"/>
    <w:rsid w:val="00136674"/>
    <w:rsid w:val="001370F2"/>
    <w:rsid w:val="00137481"/>
    <w:rsid w:val="00151C9B"/>
    <w:rsid w:val="00160D39"/>
    <w:rsid w:val="001651D4"/>
    <w:rsid w:val="00172B07"/>
    <w:rsid w:val="00174215"/>
    <w:rsid w:val="0018178A"/>
    <w:rsid w:val="001819B5"/>
    <w:rsid w:val="00185295"/>
    <w:rsid w:val="001869BF"/>
    <w:rsid w:val="00191CD5"/>
    <w:rsid w:val="001A1066"/>
    <w:rsid w:val="001A47B8"/>
    <w:rsid w:val="001A6CD9"/>
    <w:rsid w:val="001B4F21"/>
    <w:rsid w:val="001D4B83"/>
    <w:rsid w:val="001D5722"/>
    <w:rsid w:val="001E25E8"/>
    <w:rsid w:val="001E3CF8"/>
    <w:rsid w:val="001E413D"/>
    <w:rsid w:val="001E6F8F"/>
    <w:rsid w:val="001F11F7"/>
    <w:rsid w:val="001F5E8D"/>
    <w:rsid w:val="00210C19"/>
    <w:rsid w:val="00211391"/>
    <w:rsid w:val="00213708"/>
    <w:rsid w:val="00220581"/>
    <w:rsid w:val="00230405"/>
    <w:rsid w:val="00230F54"/>
    <w:rsid w:val="00232DF6"/>
    <w:rsid w:val="00241BD2"/>
    <w:rsid w:val="00245677"/>
    <w:rsid w:val="00255CD4"/>
    <w:rsid w:val="00266E39"/>
    <w:rsid w:val="002671DE"/>
    <w:rsid w:val="00285201"/>
    <w:rsid w:val="00285B92"/>
    <w:rsid w:val="002879D0"/>
    <w:rsid w:val="002A6AF4"/>
    <w:rsid w:val="002B2F2E"/>
    <w:rsid w:val="002B4B50"/>
    <w:rsid w:val="002B6316"/>
    <w:rsid w:val="002D2BEB"/>
    <w:rsid w:val="002E550F"/>
    <w:rsid w:val="002E7C5B"/>
    <w:rsid w:val="002F287A"/>
    <w:rsid w:val="002F66C9"/>
    <w:rsid w:val="00303F2A"/>
    <w:rsid w:val="0031342C"/>
    <w:rsid w:val="003139C9"/>
    <w:rsid w:val="00322979"/>
    <w:rsid w:val="00323C72"/>
    <w:rsid w:val="003341B0"/>
    <w:rsid w:val="00334FF8"/>
    <w:rsid w:val="00337B27"/>
    <w:rsid w:val="00342D59"/>
    <w:rsid w:val="00343F94"/>
    <w:rsid w:val="003646E6"/>
    <w:rsid w:val="00371B62"/>
    <w:rsid w:val="00371BC9"/>
    <w:rsid w:val="003A4455"/>
    <w:rsid w:val="003A4970"/>
    <w:rsid w:val="003B4A86"/>
    <w:rsid w:val="003B67E7"/>
    <w:rsid w:val="003C07B1"/>
    <w:rsid w:val="003D11EF"/>
    <w:rsid w:val="003D3D32"/>
    <w:rsid w:val="003D653E"/>
    <w:rsid w:val="003E21A4"/>
    <w:rsid w:val="003E2D5B"/>
    <w:rsid w:val="003E4751"/>
    <w:rsid w:val="003E55B7"/>
    <w:rsid w:val="0041335A"/>
    <w:rsid w:val="00422517"/>
    <w:rsid w:val="0042253D"/>
    <w:rsid w:val="00435712"/>
    <w:rsid w:val="00455E27"/>
    <w:rsid w:val="004573CF"/>
    <w:rsid w:val="004773FB"/>
    <w:rsid w:val="004801C5"/>
    <w:rsid w:val="00480381"/>
    <w:rsid w:val="004868BD"/>
    <w:rsid w:val="00490C1D"/>
    <w:rsid w:val="00491D87"/>
    <w:rsid w:val="00496574"/>
    <w:rsid w:val="004970A2"/>
    <w:rsid w:val="004A2557"/>
    <w:rsid w:val="004B2F0A"/>
    <w:rsid w:val="004B5F48"/>
    <w:rsid w:val="004B70D0"/>
    <w:rsid w:val="004C06C1"/>
    <w:rsid w:val="004C433B"/>
    <w:rsid w:val="004C45A4"/>
    <w:rsid w:val="004C68BA"/>
    <w:rsid w:val="004C700E"/>
    <w:rsid w:val="004C7E59"/>
    <w:rsid w:val="004D363A"/>
    <w:rsid w:val="004D57B1"/>
    <w:rsid w:val="004E5BF2"/>
    <w:rsid w:val="004F0973"/>
    <w:rsid w:val="004F4142"/>
    <w:rsid w:val="005072BE"/>
    <w:rsid w:val="00510F60"/>
    <w:rsid w:val="00512DED"/>
    <w:rsid w:val="00517A38"/>
    <w:rsid w:val="00521271"/>
    <w:rsid w:val="005227B8"/>
    <w:rsid w:val="00523B08"/>
    <w:rsid w:val="005245FF"/>
    <w:rsid w:val="0054275C"/>
    <w:rsid w:val="00542D4C"/>
    <w:rsid w:val="005472B4"/>
    <w:rsid w:val="00552117"/>
    <w:rsid w:val="005526AE"/>
    <w:rsid w:val="00553DC3"/>
    <w:rsid w:val="00556119"/>
    <w:rsid w:val="0055760B"/>
    <w:rsid w:val="00557B0E"/>
    <w:rsid w:val="00561279"/>
    <w:rsid w:val="0056413E"/>
    <w:rsid w:val="00567904"/>
    <w:rsid w:val="00570F81"/>
    <w:rsid w:val="0057219D"/>
    <w:rsid w:val="00576C78"/>
    <w:rsid w:val="00577343"/>
    <w:rsid w:val="00583177"/>
    <w:rsid w:val="00587E83"/>
    <w:rsid w:val="00592413"/>
    <w:rsid w:val="00593341"/>
    <w:rsid w:val="00596436"/>
    <w:rsid w:val="0059715A"/>
    <w:rsid w:val="005A44A6"/>
    <w:rsid w:val="005A70FA"/>
    <w:rsid w:val="005B264E"/>
    <w:rsid w:val="005B7595"/>
    <w:rsid w:val="005D584E"/>
    <w:rsid w:val="005E5236"/>
    <w:rsid w:val="005F2417"/>
    <w:rsid w:val="005F2DA3"/>
    <w:rsid w:val="005F3A21"/>
    <w:rsid w:val="00611AA9"/>
    <w:rsid w:val="006138C7"/>
    <w:rsid w:val="00633321"/>
    <w:rsid w:val="00635B45"/>
    <w:rsid w:val="00635B64"/>
    <w:rsid w:val="006404A2"/>
    <w:rsid w:val="00640514"/>
    <w:rsid w:val="00640E31"/>
    <w:rsid w:val="00641243"/>
    <w:rsid w:val="00643004"/>
    <w:rsid w:val="00653B9E"/>
    <w:rsid w:val="00657A06"/>
    <w:rsid w:val="006614C2"/>
    <w:rsid w:val="0066211D"/>
    <w:rsid w:val="0066339D"/>
    <w:rsid w:val="00667D3E"/>
    <w:rsid w:val="0067255B"/>
    <w:rsid w:val="00673D4A"/>
    <w:rsid w:val="006844C0"/>
    <w:rsid w:val="006A375F"/>
    <w:rsid w:val="006A497D"/>
    <w:rsid w:val="006B41A1"/>
    <w:rsid w:val="006B4D66"/>
    <w:rsid w:val="006C2270"/>
    <w:rsid w:val="006C4305"/>
    <w:rsid w:val="006C64DD"/>
    <w:rsid w:val="006D5592"/>
    <w:rsid w:val="006D7FC0"/>
    <w:rsid w:val="006F3C47"/>
    <w:rsid w:val="00707C25"/>
    <w:rsid w:val="00712BAB"/>
    <w:rsid w:val="00735B1A"/>
    <w:rsid w:val="00737A27"/>
    <w:rsid w:val="007529D0"/>
    <w:rsid w:val="00753C16"/>
    <w:rsid w:val="00762F43"/>
    <w:rsid w:val="00771198"/>
    <w:rsid w:val="00774133"/>
    <w:rsid w:val="007813D7"/>
    <w:rsid w:val="00794480"/>
    <w:rsid w:val="00796619"/>
    <w:rsid w:val="007A00E8"/>
    <w:rsid w:val="007A6ED2"/>
    <w:rsid w:val="007C5A03"/>
    <w:rsid w:val="007E02B9"/>
    <w:rsid w:val="007E53BB"/>
    <w:rsid w:val="007E5ABC"/>
    <w:rsid w:val="008001B3"/>
    <w:rsid w:val="0080401E"/>
    <w:rsid w:val="008049AB"/>
    <w:rsid w:val="00813A99"/>
    <w:rsid w:val="00823B72"/>
    <w:rsid w:val="0082450A"/>
    <w:rsid w:val="008314A5"/>
    <w:rsid w:val="00834A32"/>
    <w:rsid w:val="00835E1D"/>
    <w:rsid w:val="008415F7"/>
    <w:rsid w:val="00845E25"/>
    <w:rsid w:val="008468ED"/>
    <w:rsid w:val="0085478E"/>
    <w:rsid w:val="0086465E"/>
    <w:rsid w:val="00871235"/>
    <w:rsid w:val="00875CA7"/>
    <w:rsid w:val="00876743"/>
    <w:rsid w:val="008770A2"/>
    <w:rsid w:val="00885072"/>
    <w:rsid w:val="0088618E"/>
    <w:rsid w:val="00887790"/>
    <w:rsid w:val="00890723"/>
    <w:rsid w:val="00894FB4"/>
    <w:rsid w:val="0089630C"/>
    <w:rsid w:val="008A366F"/>
    <w:rsid w:val="008A6719"/>
    <w:rsid w:val="008C000B"/>
    <w:rsid w:val="008C1F95"/>
    <w:rsid w:val="008C5164"/>
    <w:rsid w:val="008D39A8"/>
    <w:rsid w:val="008D7DFD"/>
    <w:rsid w:val="008E1789"/>
    <w:rsid w:val="008E490F"/>
    <w:rsid w:val="008F3713"/>
    <w:rsid w:val="008F37FF"/>
    <w:rsid w:val="008F5023"/>
    <w:rsid w:val="008F59FD"/>
    <w:rsid w:val="008F5CAA"/>
    <w:rsid w:val="00902C4D"/>
    <w:rsid w:val="00920825"/>
    <w:rsid w:val="00931F10"/>
    <w:rsid w:val="009323D6"/>
    <w:rsid w:val="0093637E"/>
    <w:rsid w:val="0093666B"/>
    <w:rsid w:val="00940B6A"/>
    <w:rsid w:val="00940DA3"/>
    <w:rsid w:val="00941729"/>
    <w:rsid w:val="0095324A"/>
    <w:rsid w:val="00953C23"/>
    <w:rsid w:val="00956331"/>
    <w:rsid w:val="00956F40"/>
    <w:rsid w:val="0096127B"/>
    <w:rsid w:val="009704B9"/>
    <w:rsid w:val="00971B05"/>
    <w:rsid w:val="00973D0C"/>
    <w:rsid w:val="00993FFC"/>
    <w:rsid w:val="009A48EB"/>
    <w:rsid w:val="009B2113"/>
    <w:rsid w:val="009C0514"/>
    <w:rsid w:val="009C0986"/>
    <w:rsid w:val="009D0EC6"/>
    <w:rsid w:val="009D330A"/>
    <w:rsid w:val="009D58A7"/>
    <w:rsid w:val="009F12D1"/>
    <w:rsid w:val="009F4C6D"/>
    <w:rsid w:val="009F6845"/>
    <w:rsid w:val="00A00B26"/>
    <w:rsid w:val="00A03120"/>
    <w:rsid w:val="00A0335C"/>
    <w:rsid w:val="00A04FAE"/>
    <w:rsid w:val="00A12DD9"/>
    <w:rsid w:val="00A22EC0"/>
    <w:rsid w:val="00A239B3"/>
    <w:rsid w:val="00A25D6E"/>
    <w:rsid w:val="00A262A5"/>
    <w:rsid w:val="00A30FDD"/>
    <w:rsid w:val="00A335B4"/>
    <w:rsid w:val="00A3432E"/>
    <w:rsid w:val="00A4235F"/>
    <w:rsid w:val="00A42EB8"/>
    <w:rsid w:val="00A53E77"/>
    <w:rsid w:val="00A615F1"/>
    <w:rsid w:val="00A7117C"/>
    <w:rsid w:val="00A75D11"/>
    <w:rsid w:val="00A81865"/>
    <w:rsid w:val="00A825B5"/>
    <w:rsid w:val="00A83879"/>
    <w:rsid w:val="00A84180"/>
    <w:rsid w:val="00A913C4"/>
    <w:rsid w:val="00AB01BE"/>
    <w:rsid w:val="00AB6935"/>
    <w:rsid w:val="00AB73B5"/>
    <w:rsid w:val="00AC10C1"/>
    <w:rsid w:val="00AC1350"/>
    <w:rsid w:val="00AE19F4"/>
    <w:rsid w:val="00AE24CD"/>
    <w:rsid w:val="00B007C8"/>
    <w:rsid w:val="00B11044"/>
    <w:rsid w:val="00B24F80"/>
    <w:rsid w:val="00B35094"/>
    <w:rsid w:val="00B42806"/>
    <w:rsid w:val="00B46181"/>
    <w:rsid w:val="00B60721"/>
    <w:rsid w:val="00B6522F"/>
    <w:rsid w:val="00B67A9E"/>
    <w:rsid w:val="00B71AC6"/>
    <w:rsid w:val="00B74CCE"/>
    <w:rsid w:val="00B84681"/>
    <w:rsid w:val="00B90F50"/>
    <w:rsid w:val="00B92C71"/>
    <w:rsid w:val="00B94DBA"/>
    <w:rsid w:val="00B96D8F"/>
    <w:rsid w:val="00BA3202"/>
    <w:rsid w:val="00BC5647"/>
    <w:rsid w:val="00BD1F11"/>
    <w:rsid w:val="00BD2177"/>
    <w:rsid w:val="00BD2BDC"/>
    <w:rsid w:val="00BD58F0"/>
    <w:rsid w:val="00BE0427"/>
    <w:rsid w:val="00BE358D"/>
    <w:rsid w:val="00BE6B5B"/>
    <w:rsid w:val="00BE6DF3"/>
    <w:rsid w:val="00BF1A21"/>
    <w:rsid w:val="00C014C5"/>
    <w:rsid w:val="00C046D6"/>
    <w:rsid w:val="00C07601"/>
    <w:rsid w:val="00C2239E"/>
    <w:rsid w:val="00C42012"/>
    <w:rsid w:val="00C4491E"/>
    <w:rsid w:val="00C51E09"/>
    <w:rsid w:val="00C57B85"/>
    <w:rsid w:val="00C63BEE"/>
    <w:rsid w:val="00C734C4"/>
    <w:rsid w:val="00C74826"/>
    <w:rsid w:val="00C74890"/>
    <w:rsid w:val="00C76A23"/>
    <w:rsid w:val="00C77CA6"/>
    <w:rsid w:val="00C8402A"/>
    <w:rsid w:val="00CA5EE7"/>
    <w:rsid w:val="00CC47BA"/>
    <w:rsid w:val="00CC6EDD"/>
    <w:rsid w:val="00CD29AE"/>
    <w:rsid w:val="00CD416B"/>
    <w:rsid w:val="00CD7295"/>
    <w:rsid w:val="00CE3466"/>
    <w:rsid w:val="00CE472E"/>
    <w:rsid w:val="00CE7C4E"/>
    <w:rsid w:val="00CF4F30"/>
    <w:rsid w:val="00D13F56"/>
    <w:rsid w:val="00D175E3"/>
    <w:rsid w:val="00D22EF7"/>
    <w:rsid w:val="00D25868"/>
    <w:rsid w:val="00D258A3"/>
    <w:rsid w:val="00D2687D"/>
    <w:rsid w:val="00D409D8"/>
    <w:rsid w:val="00D50D7A"/>
    <w:rsid w:val="00D632F1"/>
    <w:rsid w:val="00D73671"/>
    <w:rsid w:val="00D8508B"/>
    <w:rsid w:val="00D8669F"/>
    <w:rsid w:val="00D97F7F"/>
    <w:rsid w:val="00DA373A"/>
    <w:rsid w:val="00DB0231"/>
    <w:rsid w:val="00DB04DA"/>
    <w:rsid w:val="00DB5BE2"/>
    <w:rsid w:val="00DC0879"/>
    <w:rsid w:val="00DC0DD0"/>
    <w:rsid w:val="00DC6598"/>
    <w:rsid w:val="00DE05C5"/>
    <w:rsid w:val="00DE119A"/>
    <w:rsid w:val="00DF7183"/>
    <w:rsid w:val="00E03AF9"/>
    <w:rsid w:val="00E104B4"/>
    <w:rsid w:val="00E105A0"/>
    <w:rsid w:val="00E115D0"/>
    <w:rsid w:val="00E233E9"/>
    <w:rsid w:val="00E31F7B"/>
    <w:rsid w:val="00E32EC0"/>
    <w:rsid w:val="00E4103C"/>
    <w:rsid w:val="00E41F00"/>
    <w:rsid w:val="00E42C47"/>
    <w:rsid w:val="00E433CF"/>
    <w:rsid w:val="00E43779"/>
    <w:rsid w:val="00E541A4"/>
    <w:rsid w:val="00E56C24"/>
    <w:rsid w:val="00E63EB4"/>
    <w:rsid w:val="00E65668"/>
    <w:rsid w:val="00E6642D"/>
    <w:rsid w:val="00E677FA"/>
    <w:rsid w:val="00E67EDC"/>
    <w:rsid w:val="00E73327"/>
    <w:rsid w:val="00E745C7"/>
    <w:rsid w:val="00E74DB7"/>
    <w:rsid w:val="00E7573B"/>
    <w:rsid w:val="00E82B77"/>
    <w:rsid w:val="00E904F2"/>
    <w:rsid w:val="00EA1C86"/>
    <w:rsid w:val="00EB5E5F"/>
    <w:rsid w:val="00EB5EFC"/>
    <w:rsid w:val="00EB7129"/>
    <w:rsid w:val="00EC2771"/>
    <w:rsid w:val="00EC3348"/>
    <w:rsid w:val="00EC7661"/>
    <w:rsid w:val="00ED20C9"/>
    <w:rsid w:val="00EE0A42"/>
    <w:rsid w:val="00EE2E57"/>
    <w:rsid w:val="00EF12C4"/>
    <w:rsid w:val="00EF744C"/>
    <w:rsid w:val="00F00FDB"/>
    <w:rsid w:val="00F06045"/>
    <w:rsid w:val="00F07089"/>
    <w:rsid w:val="00F21E99"/>
    <w:rsid w:val="00F251EB"/>
    <w:rsid w:val="00F26397"/>
    <w:rsid w:val="00F322C3"/>
    <w:rsid w:val="00F41213"/>
    <w:rsid w:val="00F4454F"/>
    <w:rsid w:val="00F465B3"/>
    <w:rsid w:val="00F50409"/>
    <w:rsid w:val="00F74A54"/>
    <w:rsid w:val="00F96845"/>
    <w:rsid w:val="00FA224C"/>
    <w:rsid w:val="00FC1DB5"/>
    <w:rsid w:val="00FC243C"/>
    <w:rsid w:val="00FC671F"/>
    <w:rsid w:val="00FE78D4"/>
    <w:rsid w:val="00FF19E9"/>
    <w:rsid w:val="00FF5207"/>
    <w:rsid w:val="00FF5AF7"/>
    <w:rsid w:val="011A59E4"/>
    <w:rsid w:val="011D481B"/>
    <w:rsid w:val="012862EB"/>
    <w:rsid w:val="03151B2D"/>
    <w:rsid w:val="03273F00"/>
    <w:rsid w:val="033E2212"/>
    <w:rsid w:val="03565B38"/>
    <w:rsid w:val="03841E2C"/>
    <w:rsid w:val="040522F9"/>
    <w:rsid w:val="043E0DC1"/>
    <w:rsid w:val="04D907C4"/>
    <w:rsid w:val="04ED7A9E"/>
    <w:rsid w:val="052432C5"/>
    <w:rsid w:val="05640C4D"/>
    <w:rsid w:val="05722DB9"/>
    <w:rsid w:val="05AF535A"/>
    <w:rsid w:val="062B53FB"/>
    <w:rsid w:val="06641312"/>
    <w:rsid w:val="06C94744"/>
    <w:rsid w:val="074A5428"/>
    <w:rsid w:val="08570BFA"/>
    <w:rsid w:val="087147F6"/>
    <w:rsid w:val="087528DA"/>
    <w:rsid w:val="0A97598F"/>
    <w:rsid w:val="0AB458C6"/>
    <w:rsid w:val="0ABF09C0"/>
    <w:rsid w:val="0AE64536"/>
    <w:rsid w:val="0B4F0A74"/>
    <w:rsid w:val="0BCB524C"/>
    <w:rsid w:val="0CB108E6"/>
    <w:rsid w:val="0CE613B9"/>
    <w:rsid w:val="0D812865"/>
    <w:rsid w:val="10501CC6"/>
    <w:rsid w:val="10CF1FB6"/>
    <w:rsid w:val="11847B16"/>
    <w:rsid w:val="118D0B8C"/>
    <w:rsid w:val="119C3449"/>
    <w:rsid w:val="11CC31E3"/>
    <w:rsid w:val="126E52FF"/>
    <w:rsid w:val="12837C4D"/>
    <w:rsid w:val="13D814FD"/>
    <w:rsid w:val="14102B52"/>
    <w:rsid w:val="16491EF0"/>
    <w:rsid w:val="16502293"/>
    <w:rsid w:val="165226F6"/>
    <w:rsid w:val="174304FF"/>
    <w:rsid w:val="17DF08C4"/>
    <w:rsid w:val="1837634A"/>
    <w:rsid w:val="196221FE"/>
    <w:rsid w:val="1A233061"/>
    <w:rsid w:val="1D4B42CB"/>
    <w:rsid w:val="1DFE775C"/>
    <w:rsid w:val="1E0B479D"/>
    <w:rsid w:val="1E25147F"/>
    <w:rsid w:val="1E515EEC"/>
    <w:rsid w:val="1E7F3317"/>
    <w:rsid w:val="1E81182F"/>
    <w:rsid w:val="1FE131FA"/>
    <w:rsid w:val="1FFF0CD6"/>
    <w:rsid w:val="20B87668"/>
    <w:rsid w:val="20E0126F"/>
    <w:rsid w:val="217F1A7E"/>
    <w:rsid w:val="21FA37F5"/>
    <w:rsid w:val="2269029A"/>
    <w:rsid w:val="22DB6846"/>
    <w:rsid w:val="236B1763"/>
    <w:rsid w:val="237255EF"/>
    <w:rsid w:val="23953420"/>
    <w:rsid w:val="23A11462"/>
    <w:rsid w:val="24E1182B"/>
    <w:rsid w:val="255C07C6"/>
    <w:rsid w:val="2579360A"/>
    <w:rsid w:val="25BD2BED"/>
    <w:rsid w:val="272D20FF"/>
    <w:rsid w:val="27932742"/>
    <w:rsid w:val="27984057"/>
    <w:rsid w:val="2817074B"/>
    <w:rsid w:val="28735338"/>
    <w:rsid w:val="289F5AC9"/>
    <w:rsid w:val="2BCB6C5D"/>
    <w:rsid w:val="2CCA2D5D"/>
    <w:rsid w:val="2E085C9F"/>
    <w:rsid w:val="2FD713EF"/>
    <w:rsid w:val="30745632"/>
    <w:rsid w:val="30903399"/>
    <w:rsid w:val="30A14277"/>
    <w:rsid w:val="316367AD"/>
    <w:rsid w:val="31912FDA"/>
    <w:rsid w:val="3238758F"/>
    <w:rsid w:val="324F35D7"/>
    <w:rsid w:val="326B6A8D"/>
    <w:rsid w:val="332C2FBC"/>
    <w:rsid w:val="34D54DAE"/>
    <w:rsid w:val="34F92FA1"/>
    <w:rsid w:val="35532934"/>
    <w:rsid w:val="35B27D00"/>
    <w:rsid w:val="35E72909"/>
    <w:rsid w:val="35E936FD"/>
    <w:rsid w:val="36251957"/>
    <w:rsid w:val="385743A6"/>
    <w:rsid w:val="38975847"/>
    <w:rsid w:val="389D52CB"/>
    <w:rsid w:val="389E6044"/>
    <w:rsid w:val="3A5D5CB3"/>
    <w:rsid w:val="3ABA01BB"/>
    <w:rsid w:val="3C0D674B"/>
    <w:rsid w:val="3C8D3CB7"/>
    <w:rsid w:val="3FC320E9"/>
    <w:rsid w:val="40091B8D"/>
    <w:rsid w:val="40547E4A"/>
    <w:rsid w:val="40B01352"/>
    <w:rsid w:val="40DC4101"/>
    <w:rsid w:val="41130B1A"/>
    <w:rsid w:val="44120162"/>
    <w:rsid w:val="44EF4617"/>
    <w:rsid w:val="465B54CF"/>
    <w:rsid w:val="474940B1"/>
    <w:rsid w:val="48DA4EA1"/>
    <w:rsid w:val="4B3E0ECB"/>
    <w:rsid w:val="4C2D360D"/>
    <w:rsid w:val="4C8D697D"/>
    <w:rsid w:val="4D4A7D87"/>
    <w:rsid w:val="4E115BE4"/>
    <w:rsid w:val="4ED9415D"/>
    <w:rsid w:val="4F00108D"/>
    <w:rsid w:val="50221B2D"/>
    <w:rsid w:val="50777D1F"/>
    <w:rsid w:val="50E9094C"/>
    <w:rsid w:val="51CE4E4A"/>
    <w:rsid w:val="523D0896"/>
    <w:rsid w:val="52EE56AF"/>
    <w:rsid w:val="52F2177D"/>
    <w:rsid w:val="535004A3"/>
    <w:rsid w:val="54305AC3"/>
    <w:rsid w:val="543C791D"/>
    <w:rsid w:val="543F14D5"/>
    <w:rsid w:val="548C7E68"/>
    <w:rsid w:val="549C20CB"/>
    <w:rsid w:val="54E14B13"/>
    <w:rsid w:val="54E86A5F"/>
    <w:rsid w:val="5504718D"/>
    <w:rsid w:val="557E2DFC"/>
    <w:rsid w:val="55F71410"/>
    <w:rsid w:val="563414AB"/>
    <w:rsid w:val="56765F76"/>
    <w:rsid w:val="56B14167"/>
    <w:rsid w:val="58065585"/>
    <w:rsid w:val="58113D79"/>
    <w:rsid w:val="582446A8"/>
    <w:rsid w:val="589F3C7F"/>
    <w:rsid w:val="58A537D4"/>
    <w:rsid w:val="599D591D"/>
    <w:rsid w:val="59B93958"/>
    <w:rsid w:val="59FE1601"/>
    <w:rsid w:val="5A5D5209"/>
    <w:rsid w:val="5A5E1011"/>
    <w:rsid w:val="5AAA5D30"/>
    <w:rsid w:val="5B630695"/>
    <w:rsid w:val="5B7A4D3A"/>
    <w:rsid w:val="5BF642CD"/>
    <w:rsid w:val="5C030A78"/>
    <w:rsid w:val="5C9E2695"/>
    <w:rsid w:val="5E73077D"/>
    <w:rsid w:val="5F45560E"/>
    <w:rsid w:val="5F577A41"/>
    <w:rsid w:val="601F14CF"/>
    <w:rsid w:val="60CE0E80"/>
    <w:rsid w:val="60D42E03"/>
    <w:rsid w:val="61696FEE"/>
    <w:rsid w:val="633774EF"/>
    <w:rsid w:val="6346223A"/>
    <w:rsid w:val="65A91919"/>
    <w:rsid w:val="65B33860"/>
    <w:rsid w:val="65FF4404"/>
    <w:rsid w:val="66A269FF"/>
    <w:rsid w:val="66D255EB"/>
    <w:rsid w:val="66D272AF"/>
    <w:rsid w:val="675324BB"/>
    <w:rsid w:val="67685889"/>
    <w:rsid w:val="6A0F493E"/>
    <w:rsid w:val="6A7228FE"/>
    <w:rsid w:val="6A7E6C3C"/>
    <w:rsid w:val="6AFB6B19"/>
    <w:rsid w:val="6BE1338A"/>
    <w:rsid w:val="6C0B2440"/>
    <w:rsid w:val="6C193BA1"/>
    <w:rsid w:val="6C920D5B"/>
    <w:rsid w:val="6CC86875"/>
    <w:rsid w:val="6E162728"/>
    <w:rsid w:val="6F5A2638"/>
    <w:rsid w:val="6F7F627B"/>
    <w:rsid w:val="6F8D29C7"/>
    <w:rsid w:val="6F937E49"/>
    <w:rsid w:val="70920B1D"/>
    <w:rsid w:val="70A23E7D"/>
    <w:rsid w:val="715749A1"/>
    <w:rsid w:val="721C21E4"/>
    <w:rsid w:val="727C0CE2"/>
    <w:rsid w:val="728C4484"/>
    <w:rsid w:val="765C395C"/>
    <w:rsid w:val="782E756C"/>
    <w:rsid w:val="797723EC"/>
    <w:rsid w:val="79C9741E"/>
    <w:rsid w:val="7B0579A9"/>
    <w:rsid w:val="7C9F2146"/>
    <w:rsid w:val="7CC46B24"/>
    <w:rsid w:val="7D720BE6"/>
    <w:rsid w:val="7E192CFD"/>
    <w:rsid w:val="7E4E4232"/>
    <w:rsid w:val="7EAD268D"/>
    <w:rsid w:val="7EAD3C84"/>
    <w:rsid w:val="7F212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1242</Words>
  <Characters>7081</Characters>
  <Lines>59</Lines>
  <Paragraphs>16</Paragraphs>
  <TotalTime>64</TotalTime>
  <ScaleCrop>false</ScaleCrop>
  <LinksUpToDate>false</LinksUpToDate>
  <CharactersWithSpaces>8307</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l</cp:lastModifiedBy>
  <cp:lastPrinted>2024-01-22T11:11:00Z</cp:lastPrinted>
  <dcterms:modified xsi:type="dcterms:W3CDTF">2024-01-23T03:40:33Z</dcterms:modified>
  <cp:revision>926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